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bookmarkStart w:id="0" w:name="OLE_LINK1"/>
      <w:bookmarkStart w:id="1" w:name="OLE_LINK2"/>
      <w:r w:rsidR="000902A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Производство мягких </w:t>
      </w:r>
      <w:r w:rsidR="00BC3364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сортов </w:t>
      </w:r>
      <w:r w:rsidR="000902A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сыр</w:t>
      </w:r>
      <w:r w:rsidR="00BC3364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а</w:t>
      </w:r>
      <w:r w:rsidR="00242CA9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(</w:t>
      </w:r>
      <w:proofErr w:type="spellStart"/>
      <w:r w:rsidR="00242CA9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минисыроварня</w:t>
      </w:r>
      <w:proofErr w:type="spellEnd"/>
      <w:r w:rsidR="00242CA9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)</w:t>
      </w:r>
      <w:bookmarkEnd w:id="0"/>
      <w:bookmarkEnd w:id="1"/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EA4AFB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EA4AFB" w:rsidRPr="00EA4AFB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1156899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_Toc401156899 \h </w:instrTex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C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4AFB" w:rsidRPr="00EA4AFB" w:rsidRDefault="0018343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0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1A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EA4AFB" w:rsidRPr="00EA4AFB" w:rsidRDefault="0018343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1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EA4AFB" w:rsidRPr="00EA4AFB" w:rsidRDefault="0018343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2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EA4AFB" w:rsidRPr="00EA4AFB" w:rsidRDefault="0018343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3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Площадка для размещения производства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940002" w:rsidRPr="00CB01DB" w:rsidRDefault="00940002">
          <w:pPr>
            <w:rPr>
              <w:rFonts w:ascii="Times New Roman" w:hAnsi="Times New Roman" w:cs="Times New Roman"/>
            </w:rPr>
          </w:pPr>
          <w:r w:rsidRPr="00EA4AF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26041" w:rsidRPr="00CB01DB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CB01DB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  <w:bookmarkStart w:id="2" w:name="_GoBack"/>
      <w:bookmarkEnd w:id="2"/>
    </w:p>
    <w:p w:rsidR="00B95BB3" w:rsidRPr="00CB01DB" w:rsidRDefault="00B95BB3" w:rsidP="00C00C24">
      <w:pPr>
        <w:pStyle w:val="1"/>
        <w:shd w:val="clear" w:color="auto" w:fill="FBD4B4" w:themeFill="accent6" w:themeFillTint="66"/>
        <w:ind w:firstLine="709"/>
        <w:rPr>
          <w:rFonts w:ascii="Times New Roman" w:hAnsi="Times New Roman" w:cs="Times New Roman"/>
          <w:color w:val="auto"/>
        </w:rPr>
      </w:pPr>
      <w:bookmarkStart w:id="3" w:name="_Toc401156899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3"/>
    </w:p>
    <w:p w:rsidR="00B95BB3" w:rsidRPr="00CB01DB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F37B3" w:rsidRPr="00CB01D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A3B82">
        <w:rPr>
          <w:rFonts w:ascii="Times New Roman" w:hAnsi="Times New Roman" w:cs="Times New Roman"/>
          <w:sz w:val="28"/>
          <w:szCs w:val="28"/>
        </w:rPr>
        <w:t xml:space="preserve">цеха, площадью </w:t>
      </w:r>
      <w:r w:rsidR="000902A1">
        <w:rPr>
          <w:rFonts w:ascii="Times New Roman" w:hAnsi="Times New Roman" w:cs="Times New Roman"/>
          <w:sz w:val="28"/>
          <w:szCs w:val="28"/>
        </w:rPr>
        <w:t>2</w:t>
      </w:r>
      <w:r w:rsidR="00BA3B82">
        <w:rPr>
          <w:rFonts w:ascii="Times New Roman" w:hAnsi="Times New Roman" w:cs="Times New Roman"/>
          <w:sz w:val="28"/>
          <w:szCs w:val="28"/>
        </w:rPr>
        <w:t>00 м</w:t>
      </w:r>
      <w:proofErr w:type="gramStart"/>
      <w:r w:rsidR="00BA3B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071E0">
        <w:rPr>
          <w:rFonts w:ascii="Times New Roman" w:hAnsi="Times New Roman" w:cs="Times New Roman"/>
          <w:sz w:val="28"/>
          <w:szCs w:val="28"/>
        </w:rPr>
        <w:t>.</w:t>
      </w:r>
      <w:r w:rsidR="00BA3B82">
        <w:rPr>
          <w:rFonts w:ascii="Times New Roman" w:hAnsi="Times New Roman" w:cs="Times New Roman"/>
          <w:sz w:val="28"/>
          <w:szCs w:val="28"/>
        </w:rPr>
        <w:t xml:space="preserve"> по </w:t>
      </w:r>
      <w:r w:rsidR="000902A1">
        <w:rPr>
          <w:rFonts w:ascii="Times New Roman" w:hAnsi="Times New Roman" w:cs="Times New Roman"/>
          <w:sz w:val="28"/>
          <w:szCs w:val="28"/>
        </w:rPr>
        <w:t>производству мягких сыров.</w:t>
      </w:r>
    </w:p>
    <w:p w:rsidR="00B95BB3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39459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193F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="00394596">
        <w:rPr>
          <w:rFonts w:ascii="Times New Roman" w:hAnsi="Times New Roman" w:cs="Times New Roman"/>
          <w:sz w:val="28"/>
          <w:szCs w:val="28"/>
        </w:rPr>
        <w:t xml:space="preserve"> Алтайского края в </w:t>
      </w:r>
      <w:r w:rsidR="00B5618A">
        <w:rPr>
          <w:rFonts w:ascii="Times New Roman" w:hAnsi="Times New Roman" w:cs="Times New Roman"/>
          <w:sz w:val="28"/>
          <w:szCs w:val="28"/>
        </w:rPr>
        <w:t xml:space="preserve">мягких сортах сыра, с учетом </w:t>
      </w:r>
      <w:proofErr w:type="spellStart"/>
      <w:r w:rsidR="00B5618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503B6">
        <w:rPr>
          <w:rFonts w:ascii="Times New Roman" w:hAnsi="Times New Roman" w:cs="Times New Roman"/>
          <w:sz w:val="28"/>
          <w:szCs w:val="28"/>
        </w:rPr>
        <w:t>.</w:t>
      </w:r>
    </w:p>
    <w:p w:rsidR="00EA4AFB" w:rsidRDefault="008325F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 имеет необходимые ресурсы </w:t>
      </w:r>
      <w:r w:rsidR="00C7193F">
        <w:rPr>
          <w:rFonts w:ascii="Times New Roman" w:hAnsi="Times New Roman" w:cs="Times New Roman"/>
          <w:sz w:val="28"/>
          <w:szCs w:val="28"/>
        </w:rPr>
        <w:t xml:space="preserve"> для </w:t>
      </w:r>
      <w:r w:rsidR="0015020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EE408D">
        <w:rPr>
          <w:rFonts w:ascii="Times New Roman" w:hAnsi="Times New Roman" w:cs="Times New Roman"/>
          <w:sz w:val="28"/>
          <w:szCs w:val="28"/>
        </w:rPr>
        <w:t>развития</w:t>
      </w:r>
      <w:r w:rsidR="0015020E">
        <w:rPr>
          <w:rFonts w:ascii="Times New Roman" w:hAnsi="Times New Roman" w:cs="Times New Roman"/>
          <w:sz w:val="28"/>
          <w:szCs w:val="28"/>
        </w:rPr>
        <w:t xml:space="preserve"> </w:t>
      </w:r>
      <w:r w:rsidR="00B5618A">
        <w:rPr>
          <w:rFonts w:ascii="Times New Roman" w:hAnsi="Times New Roman" w:cs="Times New Roman"/>
          <w:sz w:val="28"/>
          <w:szCs w:val="28"/>
        </w:rPr>
        <w:t xml:space="preserve">сыроделия </w:t>
      </w:r>
      <w:r w:rsidR="009071E0">
        <w:rPr>
          <w:rFonts w:ascii="Times New Roman" w:hAnsi="Times New Roman" w:cs="Times New Roman"/>
          <w:sz w:val="28"/>
          <w:szCs w:val="28"/>
        </w:rPr>
        <w:t xml:space="preserve"> и увеличения ассортимента продукции, с учетом спроса населения</w:t>
      </w:r>
      <w:r w:rsidR="00C7193F">
        <w:rPr>
          <w:rFonts w:ascii="Times New Roman" w:hAnsi="Times New Roman" w:cs="Times New Roman"/>
          <w:sz w:val="28"/>
          <w:szCs w:val="28"/>
        </w:rPr>
        <w:t xml:space="preserve">. Этому способствует </w:t>
      </w:r>
      <w:r w:rsidR="009071E0">
        <w:rPr>
          <w:rFonts w:ascii="Times New Roman" w:hAnsi="Times New Roman" w:cs="Times New Roman"/>
          <w:sz w:val="28"/>
          <w:szCs w:val="28"/>
        </w:rPr>
        <w:t>конкурентно-доступная цена на сырье, которое используется в производстве, так как край является одним из ведущих производителей  молочной промышленност</w:t>
      </w:r>
      <w:r w:rsidR="00B5618A">
        <w:rPr>
          <w:rFonts w:ascii="Times New Roman" w:hAnsi="Times New Roman" w:cs="Times New Roman"/>
          <w:sz w:val="28"/>
          <w:szCs w:val="28"/>
        </w:rPr>
        <w:t>и</w:t>
      </w:r>
      <w:r w:rsidR="009071E0">
        <w:rPr>
          <w:rFonts w:ascii="Times New Roman" w:hAnsi="Times New Roman" w:cs="Times New Roman"/>
          <w:sz w:val="28"/>
          <w:szCs w:val="28"/>
        </w:rPr>
        <w:t>.</w:t>
      </w:r>
    </w:p>
    <w:p w:rsidR="006035EC" w:rsidRDefault="006035E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071E0">
        <w:rPr>
          <w:rFonts w:ascii="Times New Roman" w:hAnsi="Times New Roman" w:cs="Times New Roman"/>
          <w:sz w:val="28"/>
          <w:szCs w:val="28"/>
        </w:rPr>
        <w:t xml:space="preserve">производства продукции был </w:t>
      </w:r>
      <w:r w:rsidR="00264EC0">
        <w:rPr>
          <w:rFonts w:ascii="Times New Roman" w:hAnsi="Times New Roman" w:cs="Times New Roman"/>
          <w:sz w:val="28"/>
          <w:szCs w:val="28"/>
        </w:rPr>
        <w:t xml:space="preserve">взят следующий ассортимент: </w:t>
      </w:r>
      <w:r w:rsidR="00B5618A">
        <w:rPr>
          <w:rFonts w:ascii="Times New Roman" w:hAnsi="Times New Roman" w:cs="Times New Roman"/>
          <w:sz w:val="28"/>
          <w:szCs w:val="28"/>
        </w:rPr>
        <w:t>сыр «</w:t>
      </w:r>
      <w:proofErr w:type="spellStart"/>
      <w:r w:rsidR="00B5618A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="00B5618A">
        <w:rPr>
          <w:rFonts w:ascii="Times New Roman" w:hAnsi="Times New Roman" w:cs="Times New Roman"/>
          <w:sz w:val="28"/>
          <w:szCs w:val="28"/>
        </w:rPr>
        <w:t>» и сыр «</w:t>
      </w:r>
      <w:proofErr w:type="spellStart"/>
      <w:r w:rsidR="00B5618A">
        <w:rPr>
          <w:rFonts w:ascii="Times New Roman" w:hAnsi="Times New Roman" w:cs="Times New Roman"/>
          <w:sz w:val="28"/>
          <w:szCs w:val="28"/>
        </w:rPr>
        <w:t>Рикотта</w:t>
      </w:r>
      <w:proofErr w:type="spellEnd"/>
      <w:r w:rsidR="00B5618A">
        <w:rPr>
          <w:rFonts w:ascii="Times New Roman" w:hAnsi="Times New Roman" w:cs="Times New Roman"/>
          <w:sz w:val="28"/>
          <w:szCs w:val="28"/>
        </w:rPr>
        <w:t>»</w:t>
      </w:r>
      <w:r w:rsidR="00264EC0">
        <w:rPr>
          <w:rFonts w:ascii="Times New Roman" w:hAnsi="Times New Roman" w:cs="Times New Roman"/>
          <w:sz w:val="28"/>
          <w:szCs w:val="28"/>
        </w:rPr>
        <w:t xml:space="preserve">. Данная продукция на рынке </w:t>
      </w:r>
      <w:r w:rsidR="00B5618A">
        <w:rPr>
          <w:rFonts w:ascii="Times New Roman" w:hAnsi="Times New Roman" w:cs="Times New Roman"/>
          <w:sz w:val="28"/>
          <w:szCs w:val="28"/>
        </w:rPr>
        <w:t>представлена компаниями в основном ближнего и дальнего зарубежья. На текущий момент мягкие сыры пользуются популярностью.</w:t>
      </w:r>
    </w:p>
    <w:p w:rsidR="00CC710B" w:rsidRDefault="00B5618A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D">
        <w:rPr>
          <w:rFonts w:ascii="Times New Roman" w:hAnsi="Times New Roman" w:cs="Times New Roman"/>
          <w:b/>
          <w:sz w:val="28"/>
          <w:szCs w:val="28"/>
        </w:rPr>
        <w:t>Сыр «</w:t>
      </w:r>
      <w:proofErr w:type="spellStart"/>
      <w:r w:rsidRPr="005D428D">
        <w:rPr>
          <w:rFonts w:ascii="Times New Roman" w:hAnsi="Times New Roman" w:cs="Times New Roman"/>
          <w:b/>
          <w:sz w:val="28"/>
          <w:szCs w:val="28"/>
        </w:rPr>
        <w:t>Моцарелла</w:t>
      </w:r>
      <w:proofErr w:type="spellEnd"/>
      <w:r w:rsidRPr="005D428D">
        <w:rPr>
          <w:rFonts w:ascii="Times New Roman" w:hAnsi="Times New Roman" w:cs="Times New Roman"/>
          <w:b/>
          <w:sz w:val="28"/>
          <w:szCs w:val="28"/>
        </w:rPr>
        <w:t>»</w:t>
      </w:r>
      <w:r w:rsidR="005D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428D" w:rsidRPr="005D428D">
        <w:t xml:space="preserve"> </w:t>
      </w:r>
      <w:r w:rsidR="005D428D" w:rsidRPr="005D428D">
        <w:rPr>
          <w:rFonts w:ascii="Times New Roman" w:hAnsi="Times New Roman" w:cs="Times New Roman"/>
          <w:sz w:val="28"/>
          <w:szCs w:val="28"/>
        </w:rPr>
        <w:t xml:space="preserve">известнейший итальянский сыр, воспетый кулинарами всего мира. Его популярность объясняется не только нежным вкусом и приятным ароматом, но и большим количеством блюд, которые можно приготовить из этого сыра. Без </w:t>
      </w:r>
      <w:proofErr w:type="spellStart"/>
      <w:r w:rsidR="005D428D" w:rsidRPr="005D428D">
        <w:rPr>
          <w:rFonts w:ascii="Times New Roman" w:hAnsi="Times New Roman" w:cs="Times New Roman"/>
          <w:sz w:val="28"/>
          <w:szCs w:val="28"/>
        </w:rPr>
        <w:t>моцареллы</w:t>
      </w:r>
      <w:proofErr w:type="spellEnd"/>
      <w:r w:rsidR="005D428D" w:rsidRPr="005D428D">
        <w:rPr>
          <w:rFonts w:ascii="Times New Roman" w:hAnsi="Times New Roman" w:cs="Times New Roman"/>
          <w:sz w:val="28"/>
          <w:szCs w:val="28"/>
        </w:rPr>
        <w:t xml:space="preserve"> невозможно представить пиццу и салат </w:t>
      </w:r>
      <w:proofErr w:type="spellStart"/>
      <w:r w:rsidR="005D428D" w:rsidRPr="005D428D">
        <w:rPr>
          <w:rFonts w:ascii="Times New Roman" w:hAnsi="Times New Roman" w:cs="Times New Roman"/>
          <w:sz w:val="28"/>
          <w:szCs w:val="28"/>
        </w:rPr>
        <w:t>капрезе</w:t>
      </w:r>
      <w:proofErr w:type="spellEnd"/>
      <w:r w:rsidR="005D428D" w:rsidRPr="005D428D">
        <w:rPr>
          <w:rFonts w:ascii="Times New Roman" w:hAnsi="Times New Roman" w:cs="Times New Roman"/>
          <w:sz w:val="28"/>
          <w:szCs w:val="28"/>
        </w:rPr>
        <w:t>, лазанью и разнообразные пасты.</w:t>
      </w:r>
    </w:p>
    <w:p w:rsidR="005D428D" w:rsidRDefault="005D428D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D">
        <w:rPr>
          <w:rFonts w:ascii="Times New Roman" w:hAnsi="Times New Roman" w:cs="Times New Roman"/>
          <w:sz w:val="28"/>
          <w:szCs w:val="28"/>
        </w:rPr>
        <w:t xml:space="preserve">В составе сыра </w:t>
      </w:r>
      <w:proofErr w:type="spellStart"/>
      <w:r w:rsidRPr="005D428D">
        <w:rPr>
          <w:rFonts w:ascii="Times New Roman" w:hAnsi="Times New Roman" w:cs="Times New Roman"/>
          <w:sz w:val="28"/>
          <w:szCs w:val="28"/>
        </w:rPr>
        <w:t>моцарелла</w:t>
      </w:r>
      <w:proofErr w:type="spellEnd"/>
      <w:r w:rsidRPr="005D428D">
        <w:rPr>
          <w:rFonts w:ascii="Times New Roman" w:hAnsi="Times New Roman" w:cs="Times New Roman"/>
          <w:sz w:val="28"/>
          <w:szCs w:val="28"/>
        </w:rPr>
        <w:t xml:space="preserve"> содержится молоко, не подвергшееся термообработке. Поэтому все полезные компоненты, которые были в молоке, остаются в конечном продукте. Среди них богатый набор витаминов группы B: B1 (0,02 мг), B2 (0,34 мг), B6 и B9 (по 0,09 мг), B12 (0,9 мкг), особенно много B4 (холин) – 15,4 мг. Витамины A (0,13 мг), E (0,15 мг), PP (0,12 мг), K (1,8 мкг).</w:t>
      </w:r>
    </w:p>
    <w:p w:rsidR="005D428D" w:rsidRDefault="005D428D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D">
        <w:rPr>
          <w:rFonts w:ascii="Times New Roman" w:hAnsi="Times New Roman" w:cs="Times New Roman"/>
          <w:sz w:val="28"/>
          <w:szCs w:val="28"/>
        </w:rPr>
        <w:t>Готовится этот продукт без всяких примесей, в составе 2 ингредиента: молоко и сычужный компонент. Потому этот продукт богат на белки, но содержит мало жиров и углеводов. Его пищевая ценность составляет 280 ккал.</w:t>
      </w:r>
    </w:p>
    <w:p w:rsidR="005D428D" w:rsidRDefault="005D428D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D">
        <w:rPr>
          <w:rFonts w:ascii="Times New Roman" w:hAnsi="Times New Roman" w:cs="Times New Roman"/>
          <w:b/>
          <w:sz w:val="28"/>
          <w:szCs w:val="28"/>
        </w:rPr>
        <w:t>Сыр «</w:t>
      </w:r>
      <w:proofErr w:type="spellStart"/>
      <w:r w:rsidRPr="005D428D">
        <w:rPr>
          <w:rFonts w:ascii="Times New Roman" w:hAnsi="Times New Roman" w:cs="Times New Roman"/>
          <w:b/>
          <w:sz w:val="28"/>
          <w:szCs w:val="28"/>
        </w:rPr>
        <w:t>Рикотта</w:t>
      </w:r>
      <w:proofErr w:type="spellEnd"/>
      <w:r w:rsidRPr="005D42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5D428D">
        <w:rPr>
          <w:rFonts w:ascii="Times New Roman" w:hAnsi="Times New Roman" w:cs="Times New Roman"/>
          <w:sz w:val="28"/>
          <w:szCs w:val="28"/>
        </w:rPr>
        <w:t xml:space="preserve">радиционный продукт солнечной Италии, готовится из сыворотки, которая остается после приготовления </w:t>
      </w:r>
      <w:proofErr w:type="spellStart"/>
      <w:r w:rsidRPr="005D428D">
        <w:rPr>
          <w:rFonts w:ascii="Times New Roman" w:hAnsi="Times New Roman" w:cs="Times New Roman"/>
          <w:sz w:val="28"/>
          <w:szCs w:val="28"/>
        </w:rPr>
        <w:t>моцареллы</w:t>
      </w:r>
      <w:proofErr w:type="spellEnd"/>
      <w:r w:rsidRPr="005D428D">
        <w:rPr>
          <w:rFonts w:ascii="Times New Roman" w:hAnsi="Times New Roman" w:cs="Times New Roman"/>
          <w:sz w:val="28"/>
          <w:szCs w:val="28"/>
        </w:rPr>
        <w:t xml:space="preserve">, молодого сыра. Настоящий сыр готовят из цельного молока, не из сыворотки, потому </w:t>
      </w:r>
      <w:proofErr w:type="spellStart"/>
      <w:r w:rsidRPr="005D428D">
        <w:rPr>
          <w:rFonts w:ascii="Times New Roman" w:hAnsi="Times New Roman" w:cs="Times New Roman"/>
          <w:sz w:val="28"/>
          <w:szCs w:val="28"/>
        </w:rPr>
        <w:t>рикотту</w:t>
      </w:r>
      <w:proofErr w:type="spellEnd"/>
      <w:r w:rsidRPr="005D428D">
        <w:rPr>
          <w:rFonts w:ascii="Times New Roman" w:hAnsi="Times New Roman" w:cs="Times New Roman"/>
          <w:sz w:val="28"/>
          <w:szCs w:val="28"/>
        </w:rPr>
        <w:t xml:space="preserve"> сыром назвать нельзя. При этом </w:t>
      </w:r>
      <w:proofErr w:type="spellStart"/>
      <w:r w:rsidRPr="005D428D">
        <w:rPr>
          <w:rFonts w:ascii="Times New Roman" w:hAnsi="Times New Roman" w:cs="Times New Roman"/>
          <w:sz w:val="28"/>
          <w:szCs w:val="28"/>
        </w:rPr>
        <w:t>рикотта</w:t>
      </w:r>
      <w:proofErr w:type="spellEnd"/>
      <w:r w:rsidRPr="005D428D">
        <w:rPr>
          <w:rFonts w:ascii="Times New Roman" w:hAnsi="Times New Roman" w:cs="Times New Roman"/>
          <w:sz w:val="28"/>
          <w:szCs w:val="28"/>
        </w:rPr>
        <w:t xml:space="preserve"> и не творог, поскольку процесс приготовления этого молочного продукта разительно отличается по технологии. </w:t>
      </w:r>
    </w:p>
    <w:p w:rsidR="00B91C8A" w:rsidRDefault="00B91C8A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C8A">
        <w:rPr>
          <w:rFonts w:ascii="Times New Roman" w:hAnsi="Times New Roman" w:cs="Times New Roman"/>
          <w:sz w:val="28"/>
          <w:szCs w:val="28"/>
        </w:rPr>
        <w:t>Рикотту</w:t>
      </w:r>
      <w:proofErr w:type="spellEnd"/>
      <w:r w:rsidRPr="00B91C8A">
        <w:rPr>
          <w:rFonts w:ascii="Times New Roman" w:hAnsi="Times New Roman" w:cs="Times New Roman"/>
          <w:sz w:val="28"/>
          <w:szCs w:val="28"/>
        </w:rPr>
        <w:t xml:space="preserve"> готовят немного по-другому: осадок снова нагревается, то есть происходит процесс, называемый в Италии «</w:t>
      </w:r>
      <w:proofErr w:type="spellStart"/>
      <w:r w:rsidRPr="00B91C8A">
        <w:rPr>
          <w:rFonts w:ascii="Times New Roman" w:hAnsi="Times New Roman" w:cs="Times New Roman"/>
          <w:sz w:val="28"/>
          <w:szCs w:val="28"/>
        </w:rPr>
        <w:t>ri-cotta</w:t>
      </w:r>
      <w:proofErr w:type="spellEnd"/>
      <w:r w:rsidRPr="00B91C8A">
        <w:rPr>
          <w:rFonts w:ascii="Times New Roman" w:hAnsi="Times New Roman" w:cs="Times New Roman"/>
          <w:sz w:val="28"/>
          <w:szCs w:val="28"/>
        </w:rPr>
        <w:t xml:space="preserve">», то есть «переваренная». Лишь затем масса смешивается с ферментом-закваской, верхний слой и называется свежей </w:t>
      </w:r>
      <w:proofErr w:type="spellStart"/>
      <w:r w:rsidRPr="00B91C8A">
        <w:rPr>
          <w:rFonts w:ascii="Times New Roman" w:hAnsi="Times New Roman" w:cs="Times New Roman"/>
          <w:sz w:val="28"/>
          <w:szCs w:val="28"/>
        </w:rPr>
        <w:t>рикоттой</w:t>
      </w:r>
      <w:proofErr w:type="spellEnd"/>
      <w:r w:rsidRPr="00B91C8A">
        <w:rPr>
          <w:rFonts w:ascii="Times New Roman" w:hAnsi="Times New Roman" w:cs="Times New Roman"/>
          <w:sz w:val="28"/>
          <w:szCs w:val="28"/>
        </w:rPr>
        <w:t xml:space="preserve">. По внешнему виду </w:t>
      </w:r>
      <w:proofErr w:type="spellStart"/>
      <w:r w:rsidRPr="00B91C8A">
        <w:rPr>
          <w:rFonts w:ascii="Times New Roman" w:hAnsi="Times New Roman" w:cs="Times New Roman"/>
          <w:sz w:val="28"/>
          <w:szCs w:val="28"/>
        </w:rPr>
        <w:t>рикотта</w:t>
      </w:r>
      <w:proofErr w:type="spellEnd"/>
      <w:r w:rsidRPr="00B91C8A">
        <w:rPr>
          <w:rFonts w:ascii="Times New Roman" w:hAnsi="Times New Roman" w:cs="Times New Roman"/>
          <w:sz w:val="28"/>
          <w:szCs w:val="28"/>
        </w:rPr>
        <w:t xml:space="preserve"> очень похожа на мягкий творожный сыр, при этом она более гладкая и менее кислая, чем творог. Готовят </w:t>
      </w:r>
      <w:proofErr w:type="spellStart"/>
      <w:r w:rsidRPr="00B91C8A">
        <w:rPr>
          <w:rFonts w:ascii="Times New Roman" w:hAnsi="Times New Roman" w:cs="Times New Roman"/>
          <w:sz w:val="28"/>
          <w:szCs w:val="28"/>
        </w:rPr>
        <w:t>рикотту</w:t>
      </w:r>
      <w:proofErr w:type="spellEnd"/>
      <w:r w:rsidRPr="00B91C8A">
        <w:rPr>
          <w:rFonts w:ascii="Times New Roman" w:hAnsi="Times New Roman" w:cs="Times New Roman"/>
          <w:sz w:val="28"/>
          <w:szCs w:val="28"/>
        </w:rPr>
        <w:t xml:space="preserve"> из молочной или сливочной сыворотки разной </w:t>
      </w:r>
      <w:r w:rsidRPr="00B91C8A">
        <w:rPr>
          <w:rFonts w:ascii="Times New Roman" w:hAnsi="Times New Roman" w:cs="Times New Roman"/>
          <w:sz w:val="28"/>
          <w:szCs w:val="28"/>
        </w:rPr>
        <w:lastRenderedPageBreak/>
        <w:t>степени жирности, потому этот продукт может быть как 8% жирности - из коровьего молока, так и 24-25% - из овечьего.</w:t>
      </w: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401156900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4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B95BB3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EE408D">
        <w:rPr>
          <w:rFonts w:ascii="Times New Roman" w:hAnsi="Times New Roman" w:cs="Times New Roman"/>
          <w:sz w:val="28"/>
          <w:szCs w:val="28"/>
        </w:rPr>
        <w:t xml:space="preserve">здания цеха </w:t>
      </w:r>
      <w:r w:rsidR="00375278">
        <w:rPr>
          <w:rFonts w:ascii="Times New Roman" w:hAnsi="Times New Roman" w:cs="Times New Roman"/>
          <w:sz w:val="28"/>
          <w:szCs w:val="28"/>
        </w:rPr>
        <w:t xml:space="preserve">по </w:t>
      </w:r>
      <w:r w:rsidR="00B91C8A">
        <w:rPr>
          <w:rFonts w:ascii="Times New Roman" w:hAnsi="Times New Roman" w:cs="Times New Roman"/>
          <w:sz w:val="28"/>
          <w:szCs w:val="28"/>
        </w:rPr>
        <w:t>производству мягких сыров</w:t>
      </w:r>
    </w:p>
    <w:p w:rsidR="008F114B" w:rsidRDefault="008F114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3C3F36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</w:t>
      </w:r>
      <w:r w:rsidR="00375278">
        <w:rPr>
          <w:rFonts w:ascii="Times New Roman" w:hAnsi="Times New Roman" w:cs="Times New Roman"/>
          <w:sz w:val="28"/>
          <w:szCs w:val="28"/>
        </w:rPr>
        <w:t>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291F35" w:rsidRDefault="00407B6B" w:rsidP="0037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B91C8A">
        <w:rPr>
          <w:rFonts w:ascii="Times New Roman" w:hAnsi="Times New Roman" w:cs="Times New Roman"/>
          <w:sz w:val="28"/>
          <w:szCs w:val="28"/>
        </w:rPr>
        <w:t>2</w:t>
      </w:r>
      <w:r w:rsidR="00EE4CAE">
        <w:rPr>
          <w:rFonts w:ascii="Times New Roman" w:hAnsi="Times New Roman" w:cs="Times New Roman"/>
          <w:sz w:val="28"/>
          <w:szCs w:val="28"/>
        </w:rPr>
        <w:t>00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1261A9"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4CAE">
        <w:rPr>
          <w:rFonts w:ascii="Times New Roman" w:hAnsi="Times New Roman" w:cs="Times New Roman"/>
          <w:sz w:val="28"/>
          <w:szCs w:val="28"/>
        </w:rPr>
        <w:t xml:space="preserve"> . </w:t>
      </w:r>
      <w:r w:rsidR="00A2124A">
        <w:rPr>
          <w:rFonts w:ascii="Times New Roman" w:hAnsi="Times New Roman" w:cs="Times New Roman"/>
          <w:sz w:val="28"/>
          <w:szCs w:val="28"/>
        </w:rPr>
        <w:t>Каркас железобетонный</w:t>
      </w:r>
      <w:r w:rsidR="00375278">
        <w:rPr>
          <w:rFonts w:ascii="Times New Roman" w:hAnsi="Times New Roman" w:cs="Times New Roman"/>
          <w:sz w:val="28"/>
          <w:szCs w:val="28"/>
        </w:rPr>
        <w:t xml:space="preserve">. </w:t>
      </w:r>
      <w:r w:rsidR="00EE4CAE">
        <w:rPr>
          <w:rFonts w:ascii="Times New Roman" w:hAnsi="Times New Roman" w:cs="Times New Roman"/>
          <w:sz w:val="28"/>
          <w:szCs w:val="28"/>
        </w:rPr>
        <w:t xml:space="preserve">Стены </w:t>
      </w:r>
      <w:r w:rsidR="00375278">
        <w:rPr>
          <w:rFonts w:ascii="Times New Roman" w:hAnsi="Times New Roman" w:cs="Times New Roman"/>
          <w:sz w:val="28"/>
          <w:szCs w:val="28"/>
        </w:rPr>
        <w:t>кирпичные. Покрытие и перекрытия железобетонные</w:t>
      </w:r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278" w:rsidRPr="00CB01DB" w:rsidRDefault="00375278" w:rsidP="0037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AE" w:rsidRDefault="00E667AE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Функциональное назначение здани</w:t>
      </w:r>
      <w:r w:rsidR="00375278">
        <w:rPr>
          <w:rFonts w:ascii="Times New Roman" w:hAnsi="Times New Roman" w:cs="Times New Roman"/>
          <w:sz w:val="28"/>
          <w:szCs w:val="28"/>
        </w:rPr>
        <w:t>я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B95BB3" w:rsidRPr="00263AE8" w:rsidRDefault="00375278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предназначено для организации процесса </w:t>
      </w:r>
      <w:r w:rsidR="00A2124A">
        <w:rPr>
          <w:rFonts w:ascii="Times New Roman" w:hAnsi="Times New Roman" w:cs="Times New Roman"/>
          <w:sz w:val="28"/>
          <w:szCs w:val="28"/>
        </w:rPr>
        <w:t>производства мягких сыров.</w:t>
      </w: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– </w:t>
      </w:r>
      <w:r w:rsidR="00A2124A">
        <w:rPr>
          <w:rFonts w:ascii="Times New Roman" w:hAnsi="Times New Roman" w:cs="Times New Roman"/>
          <w:sz w:val="28"/>
          <w:szCs w:val="28"/>
        </w:rPr>
        <w:t>14 885</w:t>
      </w:r>
      <w:r w:rsidR="00361D6D">
        <w:rPr>
          <w:rFonts w:ascii="Times New Roman" w:hAnsi="Times New Roman" w:cs="Times New Roman"/>
          <w:sz w:val="28"/>
          <w:szCs w:val="28"/>
        </w:rPr>
        <w:t>,</w:t>
      </w:r>
      <w:r w:rsidR="00A2124A">
        <w:rPr>
          <w:rFonts w:ascii="Times New Roman" w:hAnsi="Times New Roman" w:cs="Times New Roman"/>
          <w:sz w:val="28"/>
          <w:szCs w:val="28"/>
        </w:rPr>
        <w:t>57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A77AA">
        <w:rPr>
          <w:rFonts w:ascii="Times New Roman" w:hAnsi="Times New Roman" w:cs="Times New Roman"/>
          <w:sz w:val="28"/>
          <w:szCs w:val="28"/>
        </w:rPr>
        <w:t>тыс</w:t>
      </w:r>
      <w:r w:rsidRPr="00CB01DB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AD524F">
        <w:rPr>
          <w:rFonts w:ascii="Times New Roman" w:hAnsi="Times New Roman" w:cs="Times New Roman"/>
          <w:sz w:val="28"/>
          <w:szCs w:val="28"/>
        </w:rPr>
        <w:t>стиций представлен в таблице № 2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361D6D" w:rsidRDefault="000B33E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расчета суммы затрат на строительство использовался </w:t>
      </w:r>
      <w:r w:rsidR="00361D6D">
        <w:rPr>
          <w:rFonts w:ascii="Times New Roman" w:hAnsi="Times New Roman" w:cs="Times New Roman"/>
          <w:sz w:val="28"/>
          <w:szCs w:val="28"/>
        </w:rPr>
        <w:t xml:space="preserve">сборник укрупненных показателей восстановительной стоимости зданий и сооружений </w:t>
      </w:r>
      <w:r w:rsidR="00EA77AA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361D6D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DA6B1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B3" w:rsidRPr="00CB01DB" w:rsidRDefault="00B670C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5B45DA" w:rsidRPr="00CB01DB" w:rsidRDefault="000A79B1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A2124A">
        <w:rPr>
          <w:rFonts w:ascii="Times New Roman" w:hAnsi="Times New Roman" w:cs="Times New Roman"/>
          <w:sz w:val="28"/>
          <w:szCs w:val="28"/>
        </w:rPr>
        <w:t>8</w:t>
      </w:r>
      <w:r w:rsidR="005B45DA" w:rsidRPr="00CB01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5BB3" w:rsidRPr="00CB01DB" w:rsidRDefault="00AD524F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A77AA">
        <w:rPr>
          <w:rFonts w:ascii="Times New Roman" w:hAnsi="Times New Roman" w:cs="Times New Roman"/>
          <w:sz w:val="28"/>
          <w:szCs w:val="28"/>
        </w:rPr>
        <w:t>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Н </w:t>
      </w:r>
      <w:r w:rsidR="00EA77AA">
        <w:rPr>
          <w:rFonts w:ascii="Times New Roman" w:hAnsi="Times New Roman" w:cs="Times New Roman"/>
          <w:sz w:val="28"/>
          <w:szCs w:val="28"/>
        </w:rPr>
        <w:t>15</w:t>
      </w:r>
      <w:r w:rsidR="00B95BB3" w:rsidRPr="00CB01D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 минус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BB3" w:rsidRPr="00CB01DB">
        <w:rPr>
          <w:rFonts w:ascii="Times New Roman" w:hAnsi="Times New Roman" w:cs="Times New Roman"/>
          <w:sz w:val="28"/>
          <w:szCs w:val="28"/>
        </w:rPr>
        <w:t>).</w:t>
      </w:r>
    </w:p>
    <w:p w:rsidR="005B45DA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одель смоделирована на наличие </w:t>
      </w:r>
      <w:r w:rsidR="00EA77AA">
        <w:rPr>
          <w:rFonts w:ascii="Times New Roman" w:hAnsi="Times New Roman" w:cs="Times New Roman"/>
          <w:sz w:val="28"/>
          <w:szCs w:val="28"/>
        </w:rPr>
        <w:t>2</w:t>
      </w:r>
      <w:r w:rsidR="001868D4">
        <w:rPr>
          <w:rFonts w:ascii="Times New Roman" w:hAnsi="Times New Roman" w:cs="Times New Roman"/>
          <w:sz w:val="28"/>
          <w:szCs w:val="28"/>
        </w:rPr>
        <w:t>0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 w:rsidR="00EA77AA">
        <w:rPr>
          <w:rFonts w:ascii="Times New Roman" w:hAnsi="Times New Roman" w:cs="Times New Roman"/>
          <w:sz w:val="28"/>
          <w:szCs w:val="28"/>
        </w:rPr>
        <w:t>8</w:t>
      </w:r>
      <w:r w:rsidRPr="00CB01DB">
        <w:rPr>
          <w:rFonts w:ascii="Times New Roman" w:hAnsi="Times New Roman" w:cs="Times New Roman"/>
          <w:sz w:val="28"/>
          <w:szCs w:val="28"/>
        </w:rPr>
        <w:t>0% заемных.</w:t>
      </w:r>
    </w:p>
    <w:p w:rsidR="0071472A" w:rsidRDefault="00B261B2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Срок кредита </w:t>
      </w:r>
      <w:r w:rsidR="00A2124A">
        <w:rPr>
          <w:rFonts w:ascii="Times New Roman" w:hAnsi="Times New Roman" w:cs="Times New Roman"/>
          <w:sz w:val="28"/>
          <w:szCs w:val="28"/>
        </w:rPr>
        <w:t>4,5 лет</w:t>
      </w:r>
      <w:r w:rsidRPr="00CB01DB">
        <w:rPr>
          <w:rFonts w:ascii="Times New Roman" w:hAnsi="Times New Roman" w:cs="Times New Roman"/>
          <w:sz w:val="28"/>
          <w:szCs w:val="28"/>
        </w:rPr>
        <w:t xml:space="preserve">, с отсрочкой платежа </w:t>
      </w:r>
      <w:r w:rsidR="00EA77AA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C6327" w:rsidRDefault="007C6327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94F">
        <w:rPr>
          <w:rFonts w:ascii="Times New Roman" w:hAnsi="Times New Roman" w:cs="Times New Roman"/>
          <w:sz w:val="28"/>
          <w:szCs w:val="28"/>
        </w:rPr>
        <w:t>2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p w:rsidR="00BB5DBF" w:rsidRDefault="00BB5DBF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397"/>
      </w:tblGrid>
      <w:tr w:rsidR="00B95BB3" w:rsidRPr="00CB01DB" w:rsidTr="004E5966">
        <w:trPr>
          <w:trHeight w:val="1"/>
        </w:trPr>
        <w:tc>
          <w:tcPr>
            <w:tcW w:w="5211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2397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5BB3" w:rsidRPr="00CB01DB" w:rsidTr="004E5966">
        <w:trPr>
          <w:trHeight w:val="1"/>
        </w:trPr>
        <w:tc>
          <w:tcPr>
            <w:tcW w:w="5211" w:type="dxa"/>
            <w:vAlign w:val="center"/>
          </w:tcPr>
          <w:p w:rsidR="00B95BB3" w:rsidRPr="00CB01DB" w:rsidRDefault="00EA77AA" w:rsidP="00EA0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здание</w:t>
            </w:r>
          </w:p>
        </w:tc>
        <w:tc>
          <w:tcPr>
            <w:tcW w:w="1843" w:type="dxa"/>
            <w:vAlign w:val="center"/>
          </w:tcPr>
          <w:p w:rsidR="00B95BB3" w:rsidRPr="007C6327" w:rsidRDefault="002C3B6E" w:rsidP="00EA0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7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7" w:type="dxa"/>
            <w:vAlign w:val="center"/>
          </w:tcPr>
          <w:p w:rsidR="00B95BB3" w:rsidRPr="00CB01DB" w:rsidRDefault="00263727" w:rsidP="00DA6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5 409,28</w:t>
            </w:r>
          </w:p>
        </w:tc>
      </w:tr>
      <w:tr w:rsidR="00B95BB3" w:rsidRPr="00CB01DB" w:rsidTr="004E5966">
        <w:trPr>
          <w:trHeight w:val="1"/>
        </w:trPr>
        <w:tc>
          <w:tcPr>
            <w:tcW w:w="5211" w:type="dxa"/>
            <w:vAlign w:val="center"/>
          </w:tcPr>
          <w:p w:rsidR="00B95BB3" w:rsidRPr="00CB01DB" w:rsidRDefault="00263727" w:rsidP="00EA0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727">
              <w:rPr>
                <w:rFonts w:ascii="Times New Roman" w:hAnsi="Times New Roman" w:cs="Times New Roman"/>
                <w:sz w:val="28"/>
                <w:szCs w:val="28"/>
              </w:rPr>
              <w:t xml:space="preserve">Линия по производству сыра </w:t>
            </w:r>
            <w:proofErr w:type="spellStart"/>
            <w:r w:rsidRPr="00263727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</w:p>
        </w:tc>
        <w:tc>
          <w:tcPr>
            <w:tcW w:w="1843" w:type="dxa"/>
            <w:vAlign w:val="center"/>
          </w:tcPr>
          <w:p w:rsidR="00B95BB3" w:rsidRPr="007C6327" w:rsidRDefault="00B95BB3" w:rsidP="00EA0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B95BB3" w:rsidRPr="00CB01DB" w:rsidRDefault="00263727" w:rsidP="001868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27">
              <w:rPr>
                <w:rFonts w:ascii="Times New Roman" w:hAnsi="Times New Roman" w:cs="Times New Roman"/>
                <w:sz w:val="28"/>
                <w:szCs w:val="28"/>
              </w:rPr>
              <w:t>8 467,20</w:t>
            </w:r>
          </w:p>
        </w:tc>
      </w:tr>
      <w:tr w:rsidR="00065314" w:rsidRPr="00CB01DB" w:rsidTr="004E5966">
        <w:trPr>
          <w:trHeight w:val="1"/>
        </w:trPr>
        <w:tc>
          <w:tcPr>
            <w:tcW w:w="5211" w:type="dxa"/>
            <w:vAlign w:val="center"/>
          </w:tcPr>
          <w:p w:rsidR="00065314" w:rsidRPr="00CB01DB" w:rsidRDefault="00263727" w:rsidP="00662E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727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Холодильная камера </w:t>
            </w:r>
            <w:proofErr w:type="spellStart"/>
            <w:r w:rsidRPr="00263727">
              <w:rPr>
                <w:rFonts w:ascii="Times New Roman" w:hAnsi="Times New Roman" w:cs="Times New Roman"/>
                <w:sz w:val="28"/>
                <w:szCs w:val="28"/>
              </w:rPr>
              <w:t>Polair</w:t>
            </w:r>
            <w:proofErr w:type="spellEnd"/>
            <w:r w:rsidRPr="00263727">
              <w:rPr>
                <w:rFonts w:ascii="Times New Roman" w:hAnsi="Times New Roman" w:cs="Times New Roman"/>
                <w:sz w:val="28"/>
                <w:szCs w:val="28"/>
              </w:rPr>
              <w:t xml:space="preserve"> ППУ 100 мм</w:t>
            </w:r>
          </w:p>
        </w:tc>
        <w:tc>
          <w:tcPr>
            <w:tcW w:w="1843" w:type="dxa"/>
          </w:tcPr>
          <w:p w:rsidR="00065314" w:rsidRPr="007C6327" w:rsidRDefault="00065314" w:rsidP="00EA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065314" w:rsidRPr="00CB01DB" w:rsidRDefault="00263727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27">
              <w:rPr>
                <w:rFonts w:ascii="Times New Roman" w:hAnsi="Times New Roman" w:cs="Times New Roman"/>
                <w:sz w:val="28"/>
                <w:szCs w:val="28"/>
              </w:rPr>
              <w:t>181,39</w:t>
            </w:r>
          </w:p>
        </w:tc>
      </w:tr>
      <w:tr w:rsidR="00DF7B99" w:rsidRPr="00CB01DB" w:rsidTr="004E5966">
        <w:trPr>
          <w:trHeight w:val="1"/>
        </w:trPr>
        <w:tc>
          <w:tcPr>
            <w:tcW w:w="5211" w:type="dxa"/>
          </w:tcPr>
          <w:p w:rsidR="00DF7B99" w:rsidRPr="00740C45" w:rsidRDefault="0010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3A5E88">
              <w:rPr>
                <w:rFonts w:ascii="Times New Roman" w:hAnsi="Times New Roman" w:cs="Times New Roman"/>
                <w:sz w:val="28"/>
                <w:szCs w:val="28"/>
              </w:rPr>
              <w:t xml:space="preserve"> для офиса</w:t>
            </w:r>
          </w:p>
        </w:tc>
        <w:tc>
          <w:tcPr>
            <w:tcW w:w="1843" w:type="dxa"/>
          </w:tcPr>
          <w:p w:rsidR="00DF7B99" w:rsidRPr="007C6327" w:rsidRDefault="00DF7B99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F7B99" w:rsidRDefault="00263727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179,30</w:t>
            </w:r>
          </w:p>
        </w:tc>
      </w:tr>
      <w:tr w:rsidR="00102151" w:rsidRPr="00CB01DB" w:rsidTr="004E5966">
        <w:trPr>
          <w:trHeight w:val="1"/>
        </w:trPr>
        <w:tc>
          <w:tcPr>
            <w:tcW w:w="5211" w:type="dxa"/>
          </w:tcPr>
          <w:p w:rsidR="00102151" w:rsidRPr="00740C45" w:rsidRDefault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столовой</w:t>
            </w:r>
          </w:p>
        </w:tc>
        <w:tc>
          <w:tcPr>
            <w:tcW w:w="1843" w:type="dxa"/>
          </w:tcPr>
          <w:p w:rsidR="00102151" w:rsidRPr="007C6327" w:rsidRDefault="00102151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02151" w:rsidRDefault="00DB4ED8" w:rsidP="002637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37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151" w:rsidRPr="00CB01DB" w:rsidTr="004E5966">
        <w:trPr>
          <w:trHeight w:val="1"/>
        </w:trPr>
        <w:tc>
          <w:tcPr>
            <w:tcW w:w="5211" w:type="dxa"/>
          </w:tcPr>
          <w:p w:rsidR="00102151" w:rsidRPr="00740C45" w:rsidRDefault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туалета</w:t>
            </w:r>
          </w:p>
        </w:tc>
        <w:tc>
          <w:tcPr>
            <w:tcW w:w="1843" w:type="dxa"/>
          </w:tcPr>
          <w:p w:rsidR="00102151" w:rsidRPr="007C6327" w:rsidRDefault="00102151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102151" w:rsidRDefault="00263727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</w:tr>
      <w:tr w:rsidR="00DB4ED8" w:rsidRPr="00CB01DB" w:rsidTr="004E5966">
        <w:trPr>
          <w:trHeight w:val="1"/>
        </w:trPr>
        <w:tc>
          <w:tcPr>
            <w:tcW w:w="5211" w:type="dxa"/>
          </w:tcPr>
          <w:p w:rsidR="00DB4ED8" w:rsidRDefault="00DB4ED8" w:rsidP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оборотных средств</w:t>
            </w:r>
          </w:p>
        </w:tc>
        <w:tc>
          <w:tcPr>
            <w:tcW w:w="1843" w:type="dxa"/>
          </w:tcPr>
          <w:p w:rsidR="00DB4ED8" w:rsidRPr="007C6327" w:rsidRDefault="00DB4ED8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4ED8" w:rsidRDefault="00263727" w:rsidP="00DB4E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195,30</w:t>
            </w:r>
          </w:p>
        </w:tc>
      </w:tr>
      <w:tr w:rsidR="00DB4ED8" w:rsidRPr="00CB01DB" w:rsidTr="004E5966">
        <w:trPr>
          <w:trHeight w:val="1"/>
        </w:trPr>
        <w:tc>
          <w:tcPr>
            <w:tcW w:w="5211" w:type="dxa"/>
          </w:tcPr>
          <w:p w:rsidR="00DB4ED8" w:rsidRPr="00740C45" w:rsidRDefault="00DB4ED8" w:rsidP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по кредиту в период строительства</w:t>
            </w:r>
          </w:p>
        </w:tc>
        <w:tc>
          <w:tcPr>
            <w:tcW w:w="1843" w:type="dxa"/>
          </w:tcPr>
          <w:p w:rsidR="00DB4ED8" w:rsidRPr="007C6327" w:rsidRDefault="00DB4ED8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DB4ED8" w:rsidRDefault="00263727" w:rsidP="00DB4E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399,76</w:t>
            </w:r>
          </w:p>
        </w:tc>
      </w:tr>
      <w:tr w:rsidR="00FF272F" w:rsidRPr="00CB01DB" w:rsidTr="004E5966">
        <w:trPr>
          <w:trHeight w:val="27"/>
        </w:trPr>
        <w:tc>
          <w:tcPr>
            <w:tcW w:w="5211" w:type="dxa"/>
          </w:tcPr>
          <w:p w:rsidR="00FF272F" w:rsidRPr="00CB01DB" w:rsidRDefault="00FF272F" w:rsidP="00572C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1843" w:type="dxa"/>
          </w:tcPr>
          <w:p w:rsidR="00FF272F" w:rsidRPr="007C6327" w:rsidRDefault="00FF272F" w:rsidP="00572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FF272F" w:rsidRPr="00CB01DB" w:rsidRDefault="00263727" w:rsidP="000653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14 885,53</w:t>
            </w:r>
          </w:p>
        </w:tc>
      </w:tr>
    </w:tbl>
    <w:p w:rsidR="00B95BB3" w:rsidRPr="00CB01DB" w:rsidRDefault="00EA4AFB" w:rsidP="00C00C24">
      <w:pPr>
        <w:shd w:val="clear" w:color="auto" w:fill="FBD4B4" w:themeFill="accent6" w:themeFillTint="6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A54B70" w:rsidRDefault="00A54B70" w:rsidP="00F76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3038C7" w:rsidP="00F76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B95BB3" w:rsidRPr="00CB01DB" w:rsidTr="00636B96">
        <w:trPr>
          <w:trHeight w:val="110"/>
        </w:trPr>
        <w:tc>
          <w:tcPr>
            <w:tcW w:w="2757" w:type="dxa"/>
            <w:shd w:val="clear" w:color="auto" w:fill="FBD4B4" w:themeFill="accent6" w:themeFillTint="66"/>
          </w:tcPr>
          <w:p w:rsidR="00636B96" w:rsidRDefault="00636B96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96" w:rsidRDefault="00C064E5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5BB3" w:rsidRPr="00636B96" w:rsidRDefault="00B95BB3" w:rsidP="0063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C064E5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proofErr w:type="gramStart"/>
            <w:r w:rsidR="00D6436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B95BB3" w:rsidP="00EA4A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426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064E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98" w:type="dxa"/>
            <w:shd w:val="clear" w:color="auto" w:fill="FBD4B4" w:themeFill="accent6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BB5DBF" w:rsidP="00A538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</w:p>
        </w:tc>
        <w:tc>
          <w:tcPr>
            <w:tcW w:w="2203" w:type="dxa"/>
            <w:vAlign w:val="center"/>
          </w:tcPr>
          <w:p w:rsidR="00D6436C" w:rsidRDefault="00BB5DBF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39 600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03" w:type="dxa"/>
            <w:vAlign w:val="center"/>
          </w:tcPr>
          <w:p w:rsidR="00D6436C" w:rsidRDefault="00BB5DBF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98" w:type="dxa"/>
            <w:vAlign w:val="center"/>
          </w:tcPr>
          <w:p w:rsidR="00D6436C" w:rsidRDefault="00BB5DBF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16 830,00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BB5DBF" w:rsidP="00A538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Рикотта</w:t>
            </w:r>
            <w:proofErr w:type="spellEnd"/>
          </w:p>
        </w:tc>
        <w:tc>
          <w:tcPr>
            <w:tcW w:w="2203" w:type="dxa"/>
            <w:vAlign w:val="center"/>
          </w:tcPr>
          <w:p w:rsidR="00D6436C" w:rsidRDefault="00BB5DBF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14 256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03" w:type="dxa"/>
            <w:vAlign w:val="center"/>
          </w:tcPr>
          <w:p w:rsidR="00D6436C" w:rsidRDefault="00BB5DBF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98" w:type="dxa"/>
            <w:vAlign w:val="center"/>
          </w:tcPr>
          <w:p w:rsidR="00D6436C" w:rsidRDefault="00BB5DBF" w:rsidP="00A53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3 991,68</w:t>
            </w:r>
          </w:p>
        </w:tc>
      </w:tr>
      <w:tr w:rsidR="00B95BB3" w:rsidRPr="00CB01DB" w:rsidTr="00636B96">
        <w:trPr>
          <w:trHeight w:val="55"/>
        </w:trPr>
        <w:tc>
          <w:tcPr>
            <w:tcW w:w="2757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203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8DB3E2" w:themeFill="text2" w:themeFillTint="66"/>
            <w:vAlign w:val="center"/>
          </w:tcPr>
          <w:p w:rsidR="00B95BB3" w:rsidRPr="000C56CE" w:rsidRDefault="00BB5DBF" w:rsidP="00277D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20 821,68</w:t>
            </w:r>
          </w:p>
        </w:tc>
      </w:tr>
    </w:tbl>
    <w:p w:rsidR="00972706" w:rsidRDefault="00972706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5" w:name="_Toc401156901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5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512932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72706" w:rsidRDefault="00425F46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и страховые взносы</w:t>
      </w:r>
      <w:r w:rsidR="008308C8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0E27C7">
        <w:rPr>
          <w:rFonts w:ascii="Times New Roman" w:hAnsi="Times New Roman" w:cs="Times New Roman"/>
          <w:sz w:val="28"/>
          <w:szCs w:val="28"/>
        </w:rPr>
        <w:t>13</w:t>
      </w:r>
      <w:r w:rsidR="008308C8">
        <w:rPr>
          <w:rFonts w:ascii="Times New Roman" w:hAnsi="Times New Roman" w:cs="Times New Roman"/>
          <w:sz w:val="28"/>
          <w:szCs w:val="28"/>
        </w:rPr>
        <w:t>% в общей структуре затрат на производство и сбыт.</w:t>
      </w:r>
      <w:r w:rsidR="000E27C7">
        <w:rPr>
          <w:rFonts w:ascii="Times New Roman" w:hAnsi="Times New Roman" w:cs="Times New Roman"/>
          <w:sz w:val="28"/>
          <w:szCs w:val="28"/>
        </w:rPr>
        <w:t xml:space="preserve"> Сырье составляет наибольшую долю в структуре затрат – 72%.</w:t>
      </w:r>
    </w:p>
    <w:p w:rsidR="008308C8" w:rsidRDefault="008308C8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F76B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038C7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A54B70">
        <w:trPr>
          <w:trHeight w:val="561"/>
        </w:trPr>
        <w:tc>
          <w:tcPr>
            <w:tcW w:w="5141" w:type="dxa"/>
            <w:shd w:val="clear" w:color="auto" w:fill="FBD4B4" w:themeFill="accent6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BF5DCF">
        <w:trPr>
          <w:trHeight w:val="741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BF5DCF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D77A93" w:rsidRPr="00CB01DB" w:rsidRDefault="00BF5DCF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4599" w:type="dxa"/>
            <w:vAlign w:val="center"/>
          </w:tcPr>
          <w:p w:rsidR="00B95BB3" w:rsidRDefault="00BB5DB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BE452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  <w:p w:rsidR="00BF5DCF" w:rsidRPr="00CB01DB" w:rsidRDefault="00BB5DBF" w:rsidP="00BE45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BE45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E45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30E" w:rsidRPr="00CB01DB" w:rsidTr="00A54B70">
        <w:trPr>
          <w:trHeight w:val="246"/>
        </w:trPr>
        <w:tc>
          <w:tcPr>
            <w:tcW w:w="5141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Default="008A18C5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9F4" w:rsidRPr="00CB01DB" w:rsidRDefault="008A18C5" w:rsidP="009153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 w:rsidR="00915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9" w:type="dxa"/>
            <w:vAlign w:val="center"/>
          </w:tcPr>
          <w:p w:rsidR="00E8530E" w:rsidRPr="00CB01DB" w:rsidRDefault="00BB5DBF" w:rsidP="00BB5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82,33</w:t>
            </w: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BB5DBF" w:rsidP="00AF0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2 437,34</w:t>
            </w:r>
          </w:p>
        </w:tc>
      </w:tr>
      <w:tr w:rsidR="00B95BB3" w:rsidRPr="00CB01DB" w:rsidTr="00425F46">
        <w:trPr>
          <w:trHeight w:val="797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1535E" w:rsidRPr="00CB01DB" w:rsidRDefault="00D77A93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B95BB3" w:rsidRPr="00CB01DB" w:rsidRDefault="00BB5DB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411,59</w:t>
            </w:r>
          </w:p>
        </w:tc>
      </w:tr>
      <w:tr w:rsidR="00B95BB3" w:rsidRPr="00CB01DB" w:rsidTr="00425F46">
        <w:trPr>
          <w:trHeight w:val="87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BB5DBF" w:rsidP="00BE45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</w:t>
            </w:r>
            <w:r w:rsidR="00BE452E"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45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334D81" w:rsidP="00BB5DBF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4BAC" w:rsidRDefault="00BB5DBF" w:rsidP="00425F46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25157A">
            <wp:extent cx="5925312" cy="386486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69" cy="386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CB532F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B532F" w:rsidRPr="00CB01DB" w:rsidTr="00534BAC">
        <w:trPr>
          <w:trHeight w:val="594"/>
        </w:trPr>
        <w:tc>
          <w:tcPr>
            <w:tcW w:w="6062" w:type="dxa"/>
            <w:shd w:val="clear" w:color="auto" w:fill="FBD4B4" w:themeFill="accent6" w:themeFillTint="66"/>
            <w:vAlign w:val="center"/>
          </w:tcPr>
          <w:p w:rsidR="00CB532F" w:rsidRPr="00CB01DB" w:rsidRDefault="00CB532F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CB532F" w:rsidRPr="00CB01DB" w:rsidTr="00D56BD5">
        <w:trPr>
          <w:trHeight w:val="465"/>
        </w:trPr>
        <w:tc>
          <w:tcPr>
            <w:tcW w:w="6062" w:type="dxa"/>
            <w:vAlign w:val="center"/>
          </w:tcPr>
          <w:p w:rsidR="00CB532F" w:rsidRPr="00CB01DB" w:rsidRDefault="00CB532F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D56BD5">
        <w:trPr>
          <w:trHeight w:val="399"/>
        </w:trPr>
        <w:tc>
          <w:tcPr>
            <w:tcW w:w="6062" w:type="dxa"/>
            <w:vAlign w:val="center"/>
          </w:tcPr>
          <w:p w:rsidR="00CB532F" w:rsidRPr="00CB01DB" w:rsidRDefault="00CB532F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544" w:type="dxa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70"/>
        </w:trPr>
        <w:tc>
          <w:tcPr>
            <w:tcW w:w="6062" w:type="dxa"/>
            <w:vAlign w:val="center"/>
          </w:tcPr>
          <w:p w:rsidR="00CB532F" w:rsidRPr="00CB01DB" w:rsidRDefault="000E27C7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Технолог-сыровар</w:t>
            </w:r>
          </w:p>
        </w:tc>
        <w:tc>
          <w:tcPr>
            <w:tcW w:w="3544" w:type="dxa"/>
            <w:vAlign w:val="center"/>
          </w:tcPr>
          <w:p w:rsidR="00CB532F" w:rsidRPr="00CB01DB" w:rsidRDefault="00425F46" w:rsidP="00A54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Pr="00CB01DB" w:rsidRDefault="000E27C7" w:rsidP="00A54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3544" w:type="dxa"/>
            <w:vAlign w:val="center"/>
          </w:tcPr>
          <w:p w:rsidR="00CB532F" w:rsidRPr="00CB01DB" w:rsidRDefault="000E27C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Default="000E27C7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544" w:type="dxa"/>
            <w:vAlign w:val="center"/>
          </w:tcPr>
          <w:p w:rsidR="00CB532F" w:rsidRPr="00CB01DB" w:rsidRDefault="000E27C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7C7" w:rsidRPr="00CB01DB" w:rsidTr="00CB532F">
        <w:trPr>
          <w:trHeight w:val="431"/>
        </w:trPr>
        <w:tc>
          <w:tcPr>
            <w:tcW w:w="6062" w:type="dxa"/>
            <w:vAlign w:val="center"/>
          </w:tcPr>
          <w:p w:rsidR="000E27C7" w:rsidRDefault="000E27C7" w:rsidP="00B83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544" w:type="dxa"/>
            <w:vAlign w:val="center"/>
          </w:tcPr>
          <w:p w:rsidR="000E27C7" w:rsidRDefault="000E27C7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Default="00425F46" w:rsidP="00B83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Дворник-уборщик</w:t>
            </w:r>
          </w:p>
        </w:tc>
        <w:tc>
          <w:tcPr>
            <w:tcW w:w="3544" w:type="dxa"/>
            <w:vAlign w:val="center"/>
          </w:tcPr>
          <w:p w:rsidR="00CB532F" w:rsidRPr="00CB01DB" w:rsidRDefault="00B83E99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86"/>
        </w:trPr>
        <w:tc>
          <w:tcPr>
            <w:tcW w:w="6062" w:type="dxa"/>
            <w:shd w:val="clear" w:color="auto" w:fill="8DB3E2" w:themeFill="text2" w:themeFillTint="66"/>
            <w:vAlign w:val="center"/>
          </w:tcPr>
          <w:p w:rsidR="00CB532F" w:rsidRPr="0032171F" w:rsidRDefault="00CB532F" w:rsidP="00CB53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CB532F" w:rsidRPr="00CB01DB" w:rsidRDefault="000E27C7" w:rsidP="00425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B532F" w:rsidRPr="00D27C6D" w:rsidRDefault="00CB532F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CB532F" w:rsidRPr="00D27C6D" w:rsidSect="00CB53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75FB" w:rsidRPr="00CB01DB" w:rsidRDefault="00FD75FB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bookmarkStart w:id="6" w:name="_Toc401156902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6"/>
    </w:p>
    <w:p w:rsidR="003564C0" w:rsidRDefault="003564C0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259F4" w:rsidRDefault="00FD75FB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срока окупаемости проекта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представлен в таблицах </w:t>
      </w:r>
      <w:r w:rsidR="00AF1E66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и </w:t>
      </w:r>
      <w:r w:rsidR="00AF1E66">
        <w:rPr>
          <w:rFonts w:ascii="Times New Roman" w:hAnsi="Times New Roman" w:cs="Times New Roman"/>
          <w:sz w:val="28"/>
          <w:szCs w:val="28"/>
        </w:rPr>
        <w:t>7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3564C0" w:rsidRDefault="003564C0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1E66">
        <w:rPr>
          <w:rFonts w:ascii="Times New Roman" w:hAnsi="Times New Roman" w:cs="Times New Roman"/>
          <w:sz w:val="28"/>
          <w:szCs w:val="28"/>
        </w:rPr>
        <w:t>6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простого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808" w:type="dxa"/>
        <w:tblInd w:w="98" w:type="dxa"/>
        <w:tblLook w:val="04A0" w:firstRow="1" w:lastRow="0" w:firstColumn="1" w:lastColumn="0" w:noHBand="0" w:noVBand="1"/>
      </w:tblPr>
      <w:tblGrid>
        <w:gridCol w:w="716"/>
        <w:gridCol w:w="5445"/>
        <w:gridCol w:w="1327"/>
        <w:gridCol w:w="1464"/>
        <w:gridCol w:w="1464"/>
        <w:gridCol w:w="1464"/>
        <w:gridCol w:w="1464"/>
        <w:gridCol w:w="1464"/>
      </w:tblGrid>
      <w:tr w:rsidR="004E5966" w:rsidRPr="004E5966" w:rsidTr="004E5966">
        <w:trPr>
          <w:trHeight w:val="588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2 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E5966" w:rsidRPr="004E5966" w:rsidTr="004E5966">
        <w:trPr>
          <w:trHeight w:val="34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14 886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5966" w:rsidRPr="004E5966" w:rsidTr="004E5966">
        <w:trPr>
          <w:trHeight w:val="101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амортизационных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7-8)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4 076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4 709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5 453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5 631</w:t>
            </w:r>
          </w:p>
        </w:tc>
      </w:tr>
      <w:tr w:rsidR="004E5966" w:rsidRPr="004E5966" w:rsidTr="004E5966">
        <w:trPr>
          <w:trHeight w:val="34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. 2-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.1)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-14 886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4 076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4 709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5 453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5 631</w:t>
            </w:r>
          </w:p>
        </w:tc>
      </w:tr>
      <w:tr w:rsidR="004E5966" w:rsidRPr="004E5966" w:rsidTr="004E5966">
        <w:trPr>
          <w:trHeight w:val="34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</w:t>
            </w:r>
            <w:proofErr w:type="gramEnd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нарастающим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-14 886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-11 442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-7 366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-2 657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2 796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8 428</w:t>
            </w:r>
          </w:p>
        </w:tc>
      </w:tr>
    </w:tbl>
    <w:p w:rsidR="00450503" w:rsidRPr="00720311" w:rsidRDefault="00450503" w:rsidP="00A259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BB3" w:rsidRDefault="00014002" w:rsidP="0053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3038C7">
        <w:rPr>
          <w:rFonts w:ascii="Times New Roman" w:hAnsi="Times New Roman" w:cs="Times New Roman"/>
          <w:sz w:val="28"/>
          <w:szCs w:val="28"/>
        </w:rPr>
        <w:t xml:space="preserve"> </w:t>
      </w:r>
      <w:r w:rsidR="00AF1E66">
        <w:rPr>
          <w:rFonts w:ascii="Times New Roman" w:hAnsi="Times New Roman" w:cs="Times New Roman"/>
          <w:sz w:val="28"/>
          <w:szCs w:val="28"/>
        </w:rPr>
        <w:t>7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дисконтированного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DPP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862" w:type="dxa"/>
        <w:tblInd w:w="98" w:type="dxa"/>
        <w:tblLook w:val="04A0" w:firstRow="1" w:lastRow="0" w:firstColumn="1" w:lastColumn="0" w:noHBand="0" w:noVBand="1"/>
      </w:tblPr>
      <w:tblGrid>
        <w:gridCol w:w="718"/>
        <w:gridCol w:w="5448"/>
        <w:gridCol w:w="1336"/>
        <w:gridCol w:w="1472"/>
        <w:gridCol w:w="1472"/>
        <w:gridCol w:w="1472"/>
        <w:gridCol w:w="1472"/>
        <w:gridCol w:w="1472"/>
      </w:tblGrid>
      <w:tr w:rsidR="004E5966" w:rsidRPr="004E5966" w:rsidTr="004E5966">
        <w:trPr>
          <w:trHeight w:val="147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2 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E5966" w:rsidRPr="004E5966" w:rsidTr="004E5966">
        <w:trPr>
          <w:trHeight w:val="8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инфляции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11,4%</w:t>
            </w:r>
          </w:p>
        </w:tc>
      </w:tr>
      <w:tr w:rsidR="004E5966" w:rsidRPr="004E5966" w:rsidTr="004E5966">
        <w:trPr>
          <w:trHeight w:val="168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рефинансирования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ЦБ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8,25%</w:t>
            </w:r>
          </w:p>
        </w:tc>
      </w:tr>
      <w:tr w:rsidR="004E5966" w:rsidRPr="004E5966" w:rsidTr="004E5966">
        <w:trPr>
          <w:trHeight w:val="8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12,00%</w:t>
            </w:r>
          </w:p>
        </w:tc>
      </w:tr>
      <w:tr w:rsidR="004E5966" w:rsidRPr="004E5966" w:rsidTr="004E5966">
        <w:trPr>
          <w:trHeight w:val="8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4E5966" w:rsidRPr="004E5966" w:rsidTr="004E5966">
        <w:trPr>
          <w:trHeight w:val="168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14 886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5966" w:rsidRPr="004E5966" w:rsidTr="004E5966">
        <w:trPr>
          <w:trHeight w:val="24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6.  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прибыли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амортизационных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отчислений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дисконтирования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3 153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3 418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3 615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3 834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3 625</w:t>
            </w:r>
          </w:p>
        </w:tc>
      </w:tr>
      <w:tr w:rsidR="004E5966" w:rsidRPr="004E5966" w:rsidTr="004E5966">
        <w:trPr>
          <w:trHeight w:val="8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. 6-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.5)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-14 886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3 153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3 418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3 615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3 834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3 625</w:t>
            </w:r>
          </w:p>
        </w:tc>
      </w:tr>
      <w:tr w:rsidR="004E5966" w:rsidRPr="004E5966" w:rsidTr="004E5966">
        <w:trPr>
          <w:trHeight w:val="8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</w:t>
            </w:r>
            <w:proofErr w:type="gramEnd"/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нарастающим</w:t>
            </w: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-14 886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-11 732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-8 314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-4 699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-865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966" w:rsidRPr="004E5966" w:rsidRDefault="004E5966" w:rsidP="004E5966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</w:pPr>
            <w:r w:rsidRPr="004E5966">
              <w:rPr>
                <w:rFonts w:ascii="Times Roman" w:eastAsia="Times New Roman" w:hAnsi="Times Roman" w:cs="Times New Roman"/>
                <w:color w:val="000000"/>
                <w:sz w:val="28"/>
                <w:szCs w:val="28"/>
                <w:lang w:eastAsia="ru-RU"/>
              </w:rPr>
              <w:t>2 760</w:t>
            </w:r>
          </w:p>
        </w:tc>
      </w:tr>
    </w:tbl>
    <w:p w:rsidR="004E5966" w:rsidRPr="00CB01DB" w:rsidRDefault="004E5966" w:rsidP="00B95BB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4E5966" w:rsidRPr="00CB01DB" w:rsidSect="00CC1C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95BB3" w:rsidRPr="00CB01DB" w:rsidRDefault="00B95BB3" w:rsidP="00663B8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На основании выполненных расчетов определены основные показатели эффективности проекта, к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AF1E66">
        <w:rPr>
          <w:rFonts w:ascii="Times New Roman" w:hAnsi="Times New Roman" w:cs="Times New Roman"/>
          <w:sz w:val="28"/>
          <w:szCs w:val="28"/>
        </w:rPr>
        <w:t>8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AF1E66">
        <w:rPr>
          <w:rFonts w:ascii="Times New Roman" w:hAnsi="Times New Roman" w:cs="Times New Roman"/>
          <w:sz w:val="28"/>
          <w:szCs w:val="28"/>
        </w:rPr>
        <w:t>8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проекта.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95BB3" w:rsidRPr="00CB01DB" w:rsidTr="00B34D28">
        <w:trPr>
          <w:trHeight w:val="622"/>
        </w:trPr>
        <w:tc>
          <w:tcPr>
            <w:tcW w:w="6629" w:type="dxa"/>
            <w:vAlign w:val="center"/>
          </w:tcPr>
          <w:p w:rsidR="00B95BB3" w:rsidRPr="00027E96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</w:t>
            </w:r>
            <w:r w:rsidR="00A9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95BB3" w:rsidRPr="00027E96" w:rsidRDefault="00E26A5E" w:rsidP="00092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14 855,53</w:t>
            </w:r>
          </w:p>
        </w:tc>
      </w:tr>
      <w:tr w:rsidR="00B95BB3" w:rsidRPr="00CB01DB" w:rsidTr="00B34D28">
        <w:trPr>
          <w:trHeight w:val="504"/>
        </w:trPr>
        <w:tc>
          <w:tcPr>
            <w:tcW w:w="6629" w:type="dxa"/>
            <w:vAlign w:val="center"/>
          </w:tcPr>
          <w:p w:rsidR="00B95BB3" w:rsidRPr="00027E96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F93030" w:rsidP="004E5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E5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95BB3" w:rsidRPr="00CB01DB" w:rsidTr="00B34D28">
        <w:trPr>
          <w:trHeight w:val="413"/>
        </w:trPr>
        <w:tc>
          <w:tcPr>
            <w:tcW w:w="6629" w:type="dxa"/>
            <w:vAlign w:val="center"/>
          </w:tcPr>
          <w:p w:rsidR="00B95BB3" w:rsidRPr="00027E96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E26A5E" w:rsidP="004E5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E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95BB3" w:rsidRPr="00CB01DB" w:rsidTr="00B34D28">
        <w:trPr>
          <w:trHeight w:val="118"/>
        </w:trPr>
        <w:tc>
          <w:tcPr>
            <w:tcW w:w="6629" w:type="dxa"/>
            <w:vAlign w:val="center"/>
          </w:tcPr>
          <w:p w:rsidR="00B95BB3" w:rsidRPr="00027E96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 w:rsidR="0064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95BB3" w:rsidRPr="00027E96" w:rsidRDefault="00F93030" w:rsidP="004E5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966">
              <w:rPr>
                <w:rFonts w:ascii="Times New Roman" w:hAnsi="Times New Roman" w:cs="Times New Roman"/>
                <w:sz w:val="28"/>
                <w:szCs w:val="28"/>
              </w:rPr>
              <w:t> 760,36</w:t>
            </w:r>
          </w:p>
        </w:tc>
      </w:tr>
      <w:tr w:rsidR="004D22D4" w:rsidRPr="00CB01DB" w:rsidTr="00B34D28">
        <w:trPr>
          <w:trHeight w:val="154"/>
        </w:trPr>
        <w:tc>
          <w:tcPr>
            <w:tcW w:w="6629" w:type="dxa"/>
            <w:vAlign w:val="center"/>
          </w:tcPr>
          <w:p w:rsidR="004D22D4" w:rsidRDefault="004D22D4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4D22D4" w:rsidRDefault="00E26A5E" w:rsidP="004E5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</w:p>
        </w:tc>
      </w:tr>
      <w:tr w:rsidR="00B34D28" w:rsidRPr="00CB01DB" w:rsidTr="00B34D28">
        <w:trPr>
          <w:trHeight w:val="154"/>
        </w:trPr>
        <w:tc>
          <w:tcPr>
            <w:tcW w:w="6629" w:type="dxa"/>
            <w:vAlign w:val="center"/>
          </w:tcPr>
          <w:p w:rsidR="00B34D28" w:rsidRPr="00B34D28" w:rsidRDefault="00B34D28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vAlign w:val="center"/>
          </w:tcPr>
          <w:p w:rsidR="00B34D28" w:rsidRPr="00E26A5E" w:rsidRDefault="008F4C47" w:rsidP="004E59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2A3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7EA5" w:rsidRDefault="00BB7EA5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расчете ставки дисконтирования взяты уровень инфляции по данным Росстата за 2014 года. (</w:t>
      </w:r>
      <w:r w:rsidR="008F4C47">
        <w:rPr>
          <w:rFonts w:ascii="Times New Roman" w:hAnsi="Times New Roman" w:cs="Times New Roman"/>
          <w:sz w:val="28"/>
          <w:szCs w:val="28"/>
        </w:rPr>
        <w:t>11,36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E0385" w:rsidRDefault="00DE0385" w:rsidP="0053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7" w:name="_Toc401156903"/>
      <w:r w:rsidRPr="00CB01DB">
        <w:rPr>
          <w:rFonts w:ascii="Times New Roman" w:hAnsi="Times New Roman" w:cs="Times New Roman"/>
          <w:color w:val="auto"/>
        </w:rPr>
        <w:t xml:space="preserve">Площадка для размещения </w:t>
      </w:r>
      <w:r w:rsidR="00D81A60">
        <w:rPr>
          <w:rFonts w:ascii="Times New Roman" w:hAnsi="Times New Roman" w:cs="Times New Roman"/>
          <w:color w:val="auto"/>
        </w:rPr>
        <w:t>производства</w:t>
      </w:r>
      <w:bookmarkEnd w:id="7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267D1">
        <w:rPr>
          <w:rFonts w:ascii="Times New Roman" w:hAnsi="Times New Roman" w:cs="Times New Roman"/>
          <w:sz w:val="28"/>
          <w:szCs w:val="28"/>
        </w:rPr>
        <w:t xml:space="preserve">цеха по </w:t>
      </w:r>
      <w:r w:rsidR="00E26A5E">
        <w:rPr>
          <w:rFonts w:ascii="Times New Roman" w:hAnsi="Times New Roman" w:cs="Times New Roman"/>
          <w:sz w:val="28"/>
          <w:szCs w:val="28"/>
        </w:rPr>
        <w:t>производству мягких сыров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предусматривается наличие земельного участка, отвечающего следующим требованиям:</w:t>
      </w:r>
    </w:p>
    <w:p w:rsidR="007D2D30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00C24">
        <w:rPr>
          <w:rFonts w:ascii="Times New Roman" w:hAnsi="Times New Roman" w:cs="Times New Roman"/>
          <w:sz w:val="28"/>
          <w:szCs w:val="28"/>
        </w:rPr>
        <w:t>п</w:t>
      </w:r>
      <w:r w:rsidR="00B95BB3" w:rsidRPr="00C00C24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771D93" w:rsidRPr="00C00C24">
        <w:rPr>
          <w:rFonts w:ascii="Times New Roman" w:hAnsi="Times New Roman" w:cs="Times New Roman"/>
          <w:sz w:val="28"/>
          <w:szCs w:val="28"/>
        </w:rPr>
        <w:t xml:space="preserve">должна составить не менее </w:t>
      </w:r>
      <w:r w:rsidR="00E55D78">
        <w:rPr>
          <w:rFonts w:ascii="Times New Roman" w:hAnsi="Times New Roman" w:cs="Times New Roman"/>
          <w:sz w:val="28"/>
          <w:szCs w:val="28"/>
        </w:rPr>
        <w:t>0,</w:t>
      </w:r>
      <w:r w:rsidR="00E26A5E">
        <w:rPr>
          <w:rFonts w:ascii="Times New Roman" w:hAnsi="Times New Roman" w:cs="Times New Roman"/>
          <w:sz w:val="28"/>
          <w:szCs w:val="28"/>
        </w:rPr>
        <w:t>2</w:t>
      </w:r>
      <w:r w:rsidR="009166D1">
        <w:rPr>
          <w:rFonts w:ascii="Times New Roman" w:hAnsi="Times New Roman" w:cs="Times New Roman"/>
          <w:sz w:val="28"/>
          <w:szCs w:val="28"/>
        </w:rPr>
        <w:t xml:space="preserve"> га</w:t>
      </w:r>
      <w:r w:rsidR="008308C8" w:rsidRPr="00C00C24">
        <w:rPr>
          <w:rFonts w:ascii="Times New Roman" w:hAnsi="Times New Roman" w:cs="Times New Roman"/>
          <w:sz w:val="28"/>
          <w:szCs w:val="28"/>
        </w:rPr>
        <w:t>;</w:t>
      </w:r>
    </w:p>
    <w:p w:rsidR="007D2D30" w:rsidRPr="00C00C24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00C24">
        <w:rPr>
          <w:rFonts w:ascii="Times New Roman" w:hAnsi="Times New Roman" w:cs="Times New Roman"/>
          <w:sz w:val="28"/>
          <w:szCs w:val="28"/>
        </w:rPr>
        <w:t>и</w:t>
      </w:r>
      <w:r w:rsidR="00B95BB3" w:rsidRPr="00C00C24">
        <w:rPr>
          <w:rFonts w:ascii="Times New Roman" w:hAnsi="Times New Roman" w:cs="Times New Roman"/>
          <w:sz w:val="28"/>
          <w:szCs w:val="28"/>
        </w:rPr>
        <w:t>нфраструктура:</w:t>
      </w:r>
    </w:p>
    <w:p w:rsidR="007D2D30" w:rsidRPr="00C00C24" w:rsidRDefault="00A64091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24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C00C24">
        <w:rPr>
          <w:rFonts w:ascii="Times New Roman" w:hAnsi="Times New Roman" w:cs="Times New Roman"/>
          <w:sz w:val="28"/>
          <w:szCs w:val="28"/>
        </w:rPr>
        <w:t>мощность</w:t>
      </w:r>
      <w:r w:rsidRPr="00C00C24">
        <w:rPr>
          <w:rFonts w:ascii="Times New Roman" w:hAnsi="Times New Roman" w:cs="Times New Roman"/>
          <w:sz w:val="28"/>
          <w:szCs w:val="28"/>
        </w:rPr>
        <w:t xml:space="preserve"> </w:t>
      </w:r>
      <w:r w:rsidR="00C00C24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DE4647">
        <w:rPr>
          <w:rFonts w:ascii="Times New Roman" w:hAnsi="Times New Roman" w:cs="Times New Roman"/>
          <w:sz w:val="28"/>
          <w:szCs w:val="28"/>
        </w:rPr>
        <w:t>85</w:t>
      </w:r>
      <w:r w:rsidR="00196957">
        <w:rPr>
          <w:rFonts w:ascii="Times New Roman" w:hAnsi="Times New Roman" w:cs="Times New Roman"/>
          <w:sz w:val="28"/>
          <w:szCs w:val="28"/>
        </w:rPr>
        <w:t xml:space="preserve"> </w:t>
      </w:r>
      <w:r w:rsidR="00DB3CB5" w:rsidRPr="00C00C24">
        <w:rPr>
          <w:rFonts w:ascii="Times New Roman" w:hAnsi="Times New Roman" w:cs="Times New Roman"/>
          <w:sz w:val="28"/>
          <w:szCs w:val="28"/>
        </w:rPr>
        <w:t>кВт</w:t>
      </w:r>
      <w:r w:rsidR="00F76B9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76B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B1686" w:rsidRPr="00C00C24">
        <w:rPr>
          <w:rFonts w:ascii="Times New Roman" w:hAnsi="Times New Roman" w:cs="Times New Roman"/>
          <w:sz w:val="28"/>
          <w:szCs w:val="28"/>
        </w:rPr>
        <w:t>;</w:t>
      </w:r>
    </w:p>
    <w:p w:rsidR="00CB1686" w:rsidRPr="00C00C24" w:rsidRDefault="00E55D78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</w:t>
      </w:r>
      <w:r w:rsidR="001C1132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1C1132">
        <w:rPr>
          <w:rFonts w:ascii="Times New Roman" w:hAnsi="Times New Roman" w:cs="Times New Roman"/>
          <w:sz w:val="28"/>
          <w:szCs w:val="28"/>
        </w:rPr>
        <w:t>: канализация,</w:t>
      </w:r>
      <w:r>
        <w:rPr>
          <w:rFonts w:ascii="Times New Roman" w:hAnsi="Times New Roman" w:cs="Times New Roman"/>
          <w:sz w:val="28"/>
          <w:szCs w:val="28"/>
        </w:rPr>
        <w:t xml:space="preserve"> тепло</w:t>
      </w:r>
      <w:r w:rsidR="001C1132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>, водоснабжение</w:t>
      </w:r>
      <w:r w:rsidR="008308C8" w:rsidRPr="00C00C24">
        <w:rPr>
          <w:rFonts w:ascii="Times New Roman" w:hAnsi="Times New Roman" w:cs="Times New Roman"/>
          <w:sz w:val="28"/>
          <w:szCs w:val="28"/>
        </w:rPr>
        <w:t>.</w:t>
      </w:r>
    </w:p>
    <w:sectPr w:rsidR="00CB1686" w:rsidRPr="00C00C24" w:rsidSect="004B6224">
      <w:headerReference w:type="default" r:id="rId15"/>
      <w:foot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11" w:rsidRDefault="00720311" w:rsidP="00A74401">
      <w:pPr>
        <w:spacing w:after="0" w:line="240" w:lineRule="auto"/>
      </w:pPr>
      <w:r>
        <w:separator/>
      </w:r>
    </w:p>
  </w:endnote>
  <w:endnote w:type="continuationSeparator" w:id="0">
    <w:p w:rsidR="00720311" w:rsidRDefault="00720311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3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311" w:rsidRPr="00F76B92" w:rsidRDefault="00720311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4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6157413"/>
      <w:docPartObj>
        <w:docPartGallery w:val="Page Numbers (Bottom of Page)"/>
        <w:docPartUnique/>
      </w:docPartObj>
    </w:sdtPr>
    <w:sdtEndPr/>
    <w:sdtContent>
      <w:p w:rsidR="00720311" w:rsidRPr="00F76B92" w:rsidRDefault="00720311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4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311" w:rsidRDefault="007203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1" w:rsidRPr="00F76B92" w:rsidRDefault="00183432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20311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311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0311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031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="00720311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11" w:rsidRDefault="00720311" w:rsidP="00A74401">
      <w:pPr>
        <w:spacing w:after="0" w:line="240" w:lineRule="auto"/>
      </w:pPr>
      <w:r>
        <w:separator/>
      </w:r>
    </w:p>
  </w:footnote>
  <w:footnote w:type="continuationSeparator" w:id="0">
    <w:p w:rsidR="00720311" w:rsidRDefault="00720311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1" w:rsidRDefault="00720311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</w:p>
  <w:p w:rsidR="00720311" w:rsidRDefault="00720311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41E1A7EC" wp14:editId="08F3E7F9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8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720311" w:rsidRDefault="007203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720311" w:rsidRPr="005B179C" w:rsidTr="00597022">
      <w:tc>
        <w:tcPr>
          <w:tcW w:w="1387" w:type="dxa"/>
          <w:vMerge w:val="restart"/>
        </w:tcPr>
        <w:p w:rsidR="00720311" w:rsidRPr="00222CCC" w:rsidRDefault="00720311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1016E9C4" wp14:editId="5A12C16B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720311" w:rsidRDefault="00720311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720311" w:rsidRPr="005B179C" w:rsidRDefault="00720311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720311" w:rsidRPr="00891249" w:rsidRDefault="00720311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720311" w:rsidRPr="005B179C" w:rsidRDefault="00720311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720311" w:rsidRPr="005B179C" w:rsidTr="00597022">
      <w:tc>
        <w:tcPr>
          <w:tcW w:w="1387" w:type="dxa"/>
          <w:vMerge/>
        </w:tcPr>
        <w:p w:rsidR="00720311" w:rsidRPr="00222CCC" w:rsidRDefault="00720311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720311" w:rsidRPr="00222CCC" w:rsidRDefault="00183432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720311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720311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720311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720311" w:rsidRPr="005B179C" w:rsidRDefault="00720311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720311" w:rsidRDefault="007203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1" w:rsidRDefault="00720311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66ACF45D" wp14:editId="142779C4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720311" w:rsidRPr="00BD26E7" w:rsidRDefault="00720311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1" w:rsidRDefault="00720311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49770FD9" wp14:editId="77A7C1C8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720311" w:rsidRDefault="00720311">
    <w:pPr>
      <w:pStyle w:val="a8"/>
    </w:pPr>
  </w:p>
  <w:p w:rsidR="00720311" w:rsidRDefault="00720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6169"/>
    <w:rsid w:val="000765D1"/>
    <w:rsid w:val="00083B52"/>
    <w:rsid w:val="000902A1"/>
    <w:rsid w:val="0009223D"/>
    <w:rsid w:val="00092DD3"/>
    <w:rsid w:val="000A2795"/>
    <w:rsid w:val="000A60B3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7EC2"/>
    <w:rsid w:val="000E1ECB"/>
    <w:rsid w:val="000E27C7"/>
    <w:rsid w:val="000E365E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41EB"/>
    <w:rsid w:val="00124CC7"/>
    <w:rsid w:val="001261A9"/>
    <w:rsid w:val="00126A94"/>
    <w:rsid w:val="00135D45"/>
    <w:rsid w:val="001461ED"/>
    <w:rsid w:val="0015020E"/>
    <w:rsid w:val="0016056A"/>
    <w:rsid w:val="00170921"/>
    <w:rsid w:val="00174057"/>
    <w:rsid w:val="00183432"/>
    <w:rsid w:val="001868D4"/>
    <w:rsid w:val="00192DDC"/>
    <w:rsid w:val="00196957"/>
    <w:rsid w:val="001A1491"/>
    <w:rsid w:val="001A3616"/>
    <w:rsid w:val="001B6AE4"/>
    <w:rsid w:val="001C1132"/>
    <w:rsid w:val="001C15EE"/>
    <w:rsid w:val="001C357F"/>
    <w:rsid w:val="001C6FE4"/>
    <w:rsid w:val="001D353D"/>
    <w:rsid w:val="001D7FAD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6143"/>
    <w:rsid w:val="002365EA"/>
    <w:rsid w:val="002368FC"/>
    <w:rsid w:val="00242CA9"/>
    <w:rsid w:val="00243AC9"/>
    <w:rsid w:val="00245CBD"/>
    <w:rsid w:val="0024659F"/>
    <w:rsid w:val="00251421"/>
    <w:rsid w:val="002614B0"/>
    <w:rsid w:val="002616FF"/>
    <w:rsid w:val="00263727"/>
    <w:rsid w:val="00263AE8"/>
    <w:rsid w:val="00264EC0"/>
    <w:rsid w:val="00277D62"/>
    <w:rsid w:val="00282B71"/>
    <w:rsid w:val="00291F35"/>
    <w:rsid w:val="002A243E"/>
    <w:rsid w:val="002A35CC"/>
    <w:rsid w:val="002A6967"/>
    <w:rsid w:val="002B1126"/>
    <w:rsid w:val="002B237F"/>
    <w:rsid w:val="002B2FE2"/>
    <w:rsid w:val="002C3B6E"/>
    <w:rsid w:val="002C3FD7"/>
    <w:rsid w:val="002C5B42"/>
    <w:rsid w:val="002D5F1E"/>
    <w:rsid w:val="002E309C"/>
    <w:rsid w:val="002F7782"/>
    <w:rsid w:val="003038C7"/>
    <w:rsid w:val="00313880"/>
    <w:rsid w:val="00316D54"/>
    <w:rsid w:val="0032171F"/>
    <w:rsid w:val="003328C2"/>
    <w:rsid w:val="00332ED9"/>
    <w:rsid w:val="003330DE"/>
    <w:rsid w:val="00334D81"/>
    <w:rsid w:val="00336C61"/>
    <w:rsid w:val="003415F3"/>
    <w:rsid w:val="00341A25"/>
    <w:rsid w:val="00341BFC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7E5D"/>
    <w:rsid w:val="003F1E0E"/>
    <w:rsid w:val="003F37B3"/>
    <w:rsid w:val="003F694F"/>
    <w:rsid w:val="004022FA"/>
    <w:rsid w:val="00402F92"/>
    <w:rsid w:val="00407B6B"/>
    <w:rsid w:val="0041339D"/>
    <w:rsid w:val="004208D5"/>
    <w:rsid w:val="00421950"/>
    <w:rsid w:val="0042269B"/>
    <w:rsid w:val="00422C42"/>
    <w:rsid w:val="00425F46"/>
    <w:rsid w:val="004260A2"/>
    <w:rsid w:val="004329AE"/>
    <w:rsid w:val="00435238"/>
    <w:rsid w:val="00445ECF"/>
    <w:rsid w:val="00446D30"/>
    <w:rsid w:val="00450503"/>
    <w:rsid w:val="00463496"/>
    <w:rsid w:val="00463BFF"/>
    <w:rsid w:val="00475BC4"/>
    <w:rsid w:val="004830EA"/>
    <w:rsid w:val="0048338A"/>
    <w:rsid w:val="00484A1D"/>
    <w:rsid w:val="004907E8"/>
    <w:rsid w:val="00490C1E"/>
    <w:rsid w:val="0049139B"/>
    <w:rsid w:val="004A527F"/>
    <w:rsid w:val="004B1395"/>
    <w:rsid w:val="004B6224"/>
    <w:rsid w:val="004C068C"/>
    <w:rsid w:val="004C297F"/>
    <w:rsid w:val="004C7562"/>
    <w:rsid w:val="004D1313"/>
    <w:rsid w:val="004D22D4"/>
    <w:rsid w:val="004D47F9"/>
    <w:rsid w:val="004D7CFF"/>
    <w:rsid w:val="004E03BC"/>
    <w:rsid w:val="004E046C"/>
    <w:rsid w:val="004E5966"/>
    <w:rsid w:val="004F20A1"/>
    <w:rsid w:val="004F5D3B"/>
    <w:rsid w:val="004F76C4"/>
    <w:rsid w:val="00502043"/>
    <w:rsid w:val="00505F60"/>
    <w:rsid w:val="0050771A"/>
    <w:rsid w:val="00512932"/>
    <w:rsid w:val="00520252"/>
    <w:rsid w:val="00534BAC"/>
    <w:rsid w:val="005402AD"/>
    <w:rsid w:val="00552D6E"/>
    <w:rsid w:val="00563667"/>
    <w:rsid w:val="00564DFA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A6E38"/>
    <w:rsid w:val="005B45DA"/>
    <w:rsid w:val="005B5C7E"/>
    <w:rsid w:val="005B72A4"/>
    <w:rsid w:val="005D3153"/>
    <w:rsid w:val="005D428D"/>
    <w:rsid w:val="005D6ED8"/>
    <w:rsid w:val="005E5367"/>
    <w:rsid w:val="005F18E3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6B96"/>
    <w:rsid w:val="00641C44"/>
    <w:rsid w:val="00645059"/>
    <w:rsid w:val="00650650"/>
    <w:rsid w:val="00662E68"/>
    <w:rsid w:val="00663B88"/>
    <w:rsid w:val="0066599D"/>
    <w:rsid w:val="0067512C"/>
    <w:rsid w:val="006825C6"/>
    <w:rsid w:val="0069553C"/>
    <w:rsid w:val="006A0BD2"/>
    <w:rsid w:val="006A11A8"/>
    <w:rsid w:val="006A4926"/>
    <w:rsid w:val="006A4B51"/>
    <w:rsid w:val="006B785B"/>
    <w:rsid w:val="006C07C1"/>
    <w:rsid w:val="006C220E"/>
    <w:rsid w:val="006C4A9F"/>
    <w:rsid w:val="006C7983"/>
    <w:rsid w:val="006D6877"/>
    <w:rsid w:val="006D79AF"/>
    <w:rsid w:val="006E4C0D"/>
    <w:rsid w:val="006F3EB8"/>
    <w:rsid w:val="006F7F7A"/>
    <w:rsid w:val="007015EE"/>
    <w:rsid w:val="00701FDC"/>
    <w:rsid w:val="00702261"/>
    <w:rsid w:val="007025DE"/>
    <w:rsid w:val="00706015"/>
    <w:rsid w:val="00707179"/>
    <w:rsid w:val="00710EDC"/>
    <w:rsid w:val="0071472A"/>
    <w:rsid w:val="00720311"/>
    <w:rsid w:val="00720B00"/>
    <w:rsid w:val="00720B4A"/>
    <w:rsid w:val="00723A1F"/>
    <w:rsid w:val="00726041"/>
    <w:rsid w:val="00735968"/>
    <w:rsid w:val="0074090A"/>
    <w:rsid w:val="00740C45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F44"/>
    <w:rsid w:val="008230E6"/>
    <w:rsid w:val="00826CD5"/>
    <w:rsid w:val="0082714B"/>
    <w:rsid w:val="008307B1"/>
    <w:rsid w:val="008308C8"/>
    <w:rsid w:val="008325F3"/>
    <w:rsid w:val="00833FC2"/>
    <w:rsid w:val="008340C5"/>
    <w:rsid w:val="008346FC"/>
    <w:rsid w:val="00840042"/>
    <w:rsid w:val="00841964"/>
    <w:rsid w:val="00841AF5"/>
    <w:rsid w:val="008453B4"/>
    <w:rsid w:val="00861FD0"/>
    <w:rsid w:val="00866484"/>
    <w:rsid w:val="00877285"/>
    <w:rsid w:val="00885C4A"/>
    <w:rsid w:val="00897B65"/>
    <w:rsid w:val="008A18C5"/>
    <w:rsid w:val="008A514B"/>
    <w:rsid w:val="008B614E"/>
    <w:rsid w:val="008B679A"/>
    <w:rsid w:val="008C3657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4C47"/>
    <w:rsid w:val="008F67A1"/>
    <w:rsid w:val="008F6E21"/>
    <w:rsid w:val="009071E0"/>
    <w:rsid w:val="009128FB"/>
    <w:rsid w:val="0091535E"/>
    <w:rsid w:val="009166D1"/>
    <w:rsid w:val="00931EC4"/>
    <w:rsid w:val="009341F2"/>
    <w:rsid w:val="00936979"/>
    <w:rsid w:val="00937453"/>
    <w:rsid w:val="00940002"/>
    <w:rsid w:val="0094536E"/>
    <w:rsid w:val="00952283"/>
    <w:rsid w:val="009632DD"/>
    <w:rsid w:val="00972706"/>
    <w:rsid w:val="0097426E"/>
    <w:rsid w:val="00982FDF"/>
    <w:rsid w:val="009967E1"/>
    <w:rsid w:val="00997AEC"/>
    <w:rsid w:val="009A4D47"/>
    <w:rsid w:val="009A6D43"/>
    <w:rsid w:val="009A7281"/>
    <w:rsid w:val="009B28BD"/>
    <w:rsid w:val="009B6693"/>
    <w:rsid w:val="009B6A93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8AB"/>
    <w:rsid w:val="009F3D17"/>
    <w:rsid w:val="00A1571D"/>
    <w:rsid w:val="00A2124A"/>
    <w:rsid w:val="00A24854"/>
    <w:rsid w:val="00A259F4"/>
    <w:rsid w:val="00A26506"/>
    <w:rsid w:val="00A26C28"/>
    <w:rsid w:val="00A361DD"/>
    <w:rsid w:val="00A40871"/>
    <w:rsid w:val="00A5380B"/>
    <w:rsid w:val="00A54B70"/>
    <w:rsid w:val="00A609C8"/>
    <w:rsid w:val="00A6151E"/>
    <w:rsid w:val="00A63CF2"/>
    <w:rsid w:val="00A64091"/>
    <w:rsid w:val="00A72873"/>
    <w:rsid w:val="00A74401"/>
    <w:rsid w:val="00A83353"/>
    <w:rsid w:val="00A849A6"/>
    <w:rsid w:val="00A91313"/>
    <w:rsid w:val="00A92CB8"/>
    <w:rsid w:val="00A97B6D"/>
    <w:rsid w:val="00AA1D74"/>
    <w:rsid w:val="00AA6D58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0C8F"/>
    <w:rsid w:val="00AF1E66"/>
    <w:rsid w:val="00AF64FB"/>
    <w:rsid w:val="00B002AC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D12"/>
    <w:rsid w:val="00B45426"/>
    <w:rsid w:val="00B503B6"/>
    <w:rsid w:val="00B52BE3"/>
    <w:rsid w:val="00B53C82"/>
    <w:rsid w:val="00B54264"/>
    <w:rsid w:val="00B5618A"/>
    <w:rsid w:val="00B567EF"/>
    <w:rsid w:val="00B604FB"/>
    <w:rsid w:val="00B6654A"/>
    <w:rsid w:val="00B670CC"/>
    <w:rsid w:val="00B67A57"/>
    <w:rsid w:val="00B74E72"/>
    <w:rsid w:val="00B77272"/>
    <w:rsid w:val="00B805CE"/>
    <w:rsid w:val="00B83E99"/>
    <w:rsid w:val="00B84CB7"/>
    <w:rsid w:val="00B875D2"/>
    <w:rsid w:val="00B91C8A"/>
    <w:rsid w:val="00B920F3"/>
    <w:rsid w:val="00B94F57"/>
    <w:rsid w:val="00B9583B"/>
    <w:rsid w:val="00B95BB3"/>
    <w:rsid w:val="00BA3B82"/>
    <w:rsid w:val="00BA5CA0"/>
    <w:rsid w:val="00BA7BAC"/>
    <w:rsid w:val="00BB0B0A"/>
    <w:rsid w:val="00BB5DBF"/>
    <w:rsid w:val="00BB7EA5"/>
    <w:rsid w:val="00BC3364"/>
    <w:rsid w:val="00BD1174"/>
    <w:rsid w:val="00BD26E7"/>
    <w:rsid w:val="00BD79B2"/>
    <w:rsid w:val="00BE452E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3148D"/>
    <w:rsid w:val="00C3735C"/>
    <w:rsid w:val="00C409D3"/>
    <w:rsid w:val="00C43DD3"/>
    <w:rsid w:val="00C62BF9"/>
    <w:rsid w:val="00C667EB"/>
    <w:rsid w:val="00C675F8"/>
    <w:rsid w:val="00C7193F"/>
    <w:rsid w:val="00C81098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1686"/>
    <w:rsid w:val="00CB532F"/>
    <w:rsid w:val="00CC1CBD"/>
    <w:rsid w:val="00CC710B"/>
    <w:rsid w:val="00CD062D"/>
    <w:rsid w:val="00CD0ADB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10E0C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7012D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6A79"/>
    <w:rsid w:val="00DD0249"/>
    <w:rsid w:val="00DD4C8C"/>
    <w:rsid w:val="00DD770E"/>
    <w:rsid w:val="00DE0385"/>
    <w:rsid w:val="00DE4149"/>
    <w:rsid w:val="00DE4647"/>
    <w:rsid w:val="00DE5F99"/>
    <w:rsid w:val="00DE606E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549"/>
    <w:rsid w:val="00E22A5D"/>
    <w:rsid w:val="00E23C69"/>
    <w:rsid w:val="00E24199"/>
    <w:rsid w:val="00E24346"/>
    <w:rsid w:val="00E26A5E"/>
    <w:rsid w:val="00E27602"/>
    <w:rsid w:val="00E3270C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309D"/>
    <w:rsid w:val="00E849D9"/>
    <w:rsid w:val="00E8530E"/>
    <w:rsid w:val="00E91005"/>
    <w:rsid w:val="00E91A6C"/>
    <w:rsid w:val="00E9421E"/>
    <w:rsid w:val="00EA0B84"/>
    <w:rsid w:val="00EA0FCA"/>
    <w:rsid w:val="00EA4AFB"/>
    <w:rsid w:val="00EA6E26"/>
    <w:rsid w:val="00EA77AA"/>
    <w:rsid w:val="00EA78EE"/>
    <w:rsid w:val="00EB3D1B"/>
    <w:rsid w:val="00EC404C"/>
    <w:rsid w:val="00EC5020"/>
    <w:rsid w:val="00EC6591"/>
    <w:rsid w:val="00ED628F"/>
    <w:rsid w:val="00EE0ADF"/>
    <w:rsid w:val="00EE255E"/>
    <w:rsid w:val="00EE408D"/>
    <w:rsid w:val="00EE40CF"/>
    <w:rsid w:val="00EE4CAE"/>
    <w:rsid w:val="00EF237C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3030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4790"/>
    <w:rsid w:val="00FD5E05"/>
    <w:rsid w:val="00FD75FB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305F-B70F-4D94-A8B9-9428E14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246</cp:revision>
  <cp:lastPrinted>2014-10-23T03:03:00Z</cp:lastPrinted>
  <dcterms:created xsi:type="dcterms:W3CDTF">2014-08-20T07:05:00Z</dcterms:created>
  <dcterms:modified xsi:type="dcterms:W3CDTF">2015-04-16T05:48:00Z</dcterms:modified>
</cp:coreProperties>
</file>